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DCC1" w14:textId="77777777" w:rsidR="003632A8" w:rsidRPr="002E4D11" w:rsidRDefault="003632A8" w:rsidP="003632A8">
      <w:pPr>
        <w:shd w:val="pct12" w:color="auto" w:fill="auto"/>
        <w:jc w:val="center"/>
        <w:rPr>
          <w:rFonts w:ascii="Tw Cen MT" w:hAnsi="Tw Cen MT"/>
          <w:b/>
          <w:i/>
          <w:sz w:val="28"/>
          <w:szCs w:val="28"/>
        </w:rPr>
      </w:pPr>
      <w:r w:rsidRPr="002E4D11">
        <w:rPr>
          <w:rFonts w:ascii="Tw Cen MT" w:hAnsi="Tw Cen MT"/>
          <w:b/>
          <w:i/>
          <w:sz w:val="28"/>
          <w:szCs w:val="28"/>
        </w:rPr>
        <w:t>Department of Higher Education</w:t>
      </w:r>
    </w:p>
    <w:p w14:paraId="43C09122" w14:textId="77777777" w:rsidR="003632A8" w:rsidRPr="002E4D11" w:rsidRDefault="003632A8" w:rsidP="003632A8">
      <w:pPr>
        <w:shd w:val="pct12" w:color="auto" w:fill="auto"/>
        <w:jc w:val="center"/>
        <w:rPr>
          <w:rFonts w:ascii="Tw Cen MT" w:hAnsi="Tw Cen MT"/>
          <w:b/>
          <w:i/>
          <w:sz w:val="28"/>
          <w:szCs w:val="28"/>
        </w:rPr>
      </w:pPr>
      <w:r w:rsidRPr="002E4D11">
        <w:rPr>
          <w:rFonts w:ascii="Tw Cen MT" w:hAnsi="Tw Cen MT"/>
          <w:b/>
          <w:i/>
          <w:sz w:val="28"/>
          <w:szCs w:val="28"/>
        </w:rPr>
        <w:t>State of Colorado</w:t>
      </w:r>
    </w:p>
    <w:p w14:paraId="4D8CA7F5" w14:textId="77777777" w:rsidR="003632A8" w:rsidRPr="002E4D11" w:rsidRDefault="003632A8" w:rsidP="003632A8">
      <w:pPr>
        <w:shd w:val="pct12" w:color="auto" w:fill="auto"/>
        <w:jc w:val="center"/>
        <w:rPr>
          <w:rFonts w:ascii="Tw Cen MT" w:hAnsi="Tw Cen MT"/>
          <w:i/>
          <w:sz w:val="28"/>
          <w:szCs w:val="28"/>
        </w:rPr>
      </w:pPr>
    </w:p>
    <w:p w14:paraId="28143D58" w14:textId="77777777" w:rsidR="003632A8" w:rsidRPr="002E4D11" w:rsidRDefault="003632A8" w:rsidP="003632A8">
      <w:pPr>
        <w:shd w:val="pct12" w:color="auto" w:fill="auto"/>
        <w:jc w:val="center"/>
        <w:rPr>
          <w:rFonts w:ascii="Tw Cen MT" w:hAnsi="Tw Cen MT"/>
          <w:i/>
          <w:sz w:val="28"/>
          <w:szCs w:val="28"/>
        </w:rPr>
      </w:pPr>
      <w:r w:rsidRPr="002E4D11">
        <w:rPr>
          <w:rFonts w:ascii="Tw Cen MT" w:hAnsi="Tw Cen MT"/>
          <w:i/>
          <w:sz w:val="28"/>
          <w:szCs w:val="28"/>
        </w:rPr>
        <w:t>Institutional Review</w:t>
      </w:r>
    </w:p>
    <w:p w14:paraId="2B821C8E" w14:textId="77777777" w:rsidR="003632A8" w:rsidRPr="002E4D11" w:rsidRDefault="003632A8" w:rsidP="003632A8">
      <w:pPr>
        <w:shd w:val="pct12" w:color="auto" w:fill="auto"/>
        <w:jc w:val="center"/>
        <w:rPr>
          <w:rFonts w:ascii="Tw Cen MT" w:hAnsi="Tw Cen MT"/>
          <w:i/>
          <w:sz w:val="28"/>
          <w:szCs w:val="28"/>
        </w:rPr>
      </w:pPr>
    </w:p>
    <w:p w14:paraId="398E4748" w14:textId="77777777" w:rsidR="003632A8" w:rsidRPr="002E4D11" w:rsidRDefault="003632A8" w:rsidP="003632A8">
      <w:pPr>
        <w:shd w:val="pct12" w:color="auto" w:fill="auto"/>
        <w:jc w:val="center"/>
        <w:rPr>
          <w:rFonts w:ascii="Tw Cen MT" w:hAnsi="Tw Cen MT"/>
          <w:b/>
          <w:i/>
          <w:sz w:val="28"/>
          <w:szCs w:val="28"/>
        </w:rPr>
      </w:pPr>
      <w:r w:rsidRPr="002E4D11">
        <w:rPr>
          <w:rFonts w:ascii="Tw Cen MT" w:hAnsi="Tw Cen MT"/>
          <w:b/>
          <w:i/>
          <w:sz w:val="28"/>
          <w:szCs w:val="28"/>
        </w:rPr>
        <w:t>Concorde Career College, Aurora</w:t>
      </w:r>
    </w:p>
    <w:p w14:paraId="22516AE0" w14:textId="02C994FA" w:rsidR="003632A8" w:rsidRPr="002E4D11" w:rsidRDefault="003632A8" w:rsidP="003632A8">
      <w:pPr>
        <w:shd w:val="pct12" w:color="auto" w:fill="auto"/>
        <w:jc w:val="center"/>
        <w:rPr>
          <w:rFonts w:ascii="Tw Cen MT" w:hAnsi="Tw Cen MT"/>
          <w:b/>
          <w:i/>
          <w:sz w:val="28"/>
          <w:szCs w:val="28"/>
        </w:rPr>
      </w:pPr>
      <w:r>
        <w:rPr>
          <w:rFonts w:ascii="Tw Cen MT" w:hAnsi="Tw Cen MT"/>
          <w:b/>
          <w:i/>
          <w:sz w:val="28"/>
          <w:szCs w:val="28"/>
        </w:rPr>
        <w:t xml:space="preserve">October </w:t>
      </w:r>
      <w:r w:rsidR="00DC0152">
        <w:rPr>
          <w:rFonts w:ascii="Tw Cen MT" w:hAnsi="Tw Cen MT"/>
          <w:b/>
          <w:i/>
          <w:sz w:val="28"/>
          <w:szCs w:val="28"/>
        </w:rPr>
        <w:t>31</w:t>
      </w:r>
      <w:r w:rsidRPr="002E4D11">
        <w:rPr>
          <w:rFonts w:ascii="Tw Cen MT" w:hAnsi="Tw Cen MT"/>
          <w:b/>
          <w:i/>
          <w:sz w:val="28"/>
          <w:szCs w:val="28"/>
        </w:rPr>
        <w:t>, 2021</w:t>
      </w:r>
    </w:p>
    <w:p w14:paraId="287DE56C" w14:textId="77777777" w:rsidR="003632A8" w:rsidRPr="002E4D11" w:rsidRDefault="003632A8" w:rsidP="003632A8">
      <w:pPr>
        <w:shd w:val="pct12" w:color="auto" w:fill="auto"/>
        <w:jc w:val="center"/>
        <w:rPr>
          <w:rFonts w:ascii="Tw Cen MT" w:hAnsi="Tw Cen MT"/>
          <w:i/>
        </w:rPr>
      </w:pPr>
    </w:p>
    <w:p w14:paraId="00D7361B" w14:textId="77777777" w:rsidR="003632A8" w:rsidRPr="002E4D11" w:rsidRDefault="003632A8" w:rsidP="003632A8">
      <w:pPr>
        <w:rPr>
          <w:rFonts w:ascii="Tw Cen MT" w:hAnsi="Tw Cen MT"/>
        </w:rPr>
      </w:pPr>
    </w:p>
    <w:p w14:paraId="5B43636D" w14:textId="250E0179" w:rsidR="003632A8" w:rsidRPr="002E4D11" w:rsidRDefault="003632A8" w:rsidP="003632A8">
      <w:pPr>
        <w:pStyle w:val="Heading8"/>
        <w:jc w:val="center"/>
        <w:rPr>
          <w:rFonts w:ascii="Tw Cen MT" w:hAnsi="Tw Cen MT"/>
          <w:szCs w:val="28"/>
        </w:rPr>
      </w:pPr>
      <w:r w:rsidRPr="002E4D11">
        <w:rPr>
          <w:rFonts w:ascii="Tw Cen MT" w:hAnsi="Tw Cen MT"/>
          <w:szCs w:val="28"/>
        </w:rPr>
        <w:t xml:space="preserve">CONSULTANTS </w:t>
      </w:r>
      <w:r>
        <w:rPr>
          <w:rFonts w:ascii="Tw Cen MT" w:hAnsi="Tw Cen MT"/>
          <w:szCs w:val="28"/>
        </w:rPr>
        <w:t xml:space="preserve">REVIEW OF </w:t>
      </w:r>
      <w:r w:rsidR="005D5459">
        <w:rPr>
          <w:rFonts w:ascii="Tw Cen MT" w:hAnsi="Tw Cen MT"/>
          <w:szCs w:val="28"/>
        </w:rPr>
        <w:t>RESPONSE</w:t>
      </w:r>
      <w:r>
        <w:rPr>
          <w:rFonts w:ascii="Tw Cen MT" w:hAnsi="Tw Cen MT"/>
          <w:szCs w:val="28"/>
        </w:rPr>
        <w:t xml:space="preserve"> TO OUR REPORT</w:t>
      </w:r>
    </w:p>
    <w:p w14:paraId="140C9724" w14:textId="3A7BB29E" w:rsidR="003632A8" w:rsidRDefault="003632A8" w:rsidP="003632A8">
      <w:pPr>
        <w:jc w:val="center"/>
        <w:rPr>
          <w:rFonts w:ascii="Tw Cen MT" w:hAnsi="Tw Cen MT"/>
          <w:b/>
        </w:rPr>
      </w:pPr>
    </w:p>
    <w:p w14:paraId="3680216E" w14:textId="4789999B" w:rsidR="003632A8" w:rsidRDefault="003632A8" w:rsidP="003632A8">
      <w:pPr>
        <w:jc w:val="center"/>
        <w:rPr>
          <w:rFonts w:ascii="Tw Cen MT" w:hAnsi="Tw Cen MT"/>
          <w:b/>
        </w:rPr>
      </w:pPr>
      <w:r>
        <w:rPr>
          <w:rFonts w:ascii="Tw Cen MT" w:hAnsi="Tw Cen MT"/>
          <w:b/>
        </w:rPr>
        <w:t>Consultants’ Note</w:t>
      </w:r>
    </w:p>
    <w:p w14:paraId="04D6AACD" w14:textId="3A6325A2" w:rsidR="003632A8" w:rsidRDefault="003632A8" w:rsidP="003632A8">
      <w:pPr>
        <w:jc w:val="center"/>
        <w:rPr>
          <w:rFonts w:ascii="Tw Cen MT" w:hAnsi="Tw Cen MT"/>
          <w:b/>
        </w:rPr>
      </w:pPr>
    </w:p>
    <w:p w14:paraId="4B3532D7" w14:textId="1CC39F60" w:rsidR="003632A8" w:rsidRDefault="003632A8" w:rsidP="003632A8">
      <w:pPr>
        <w:rPr>
          <w:rFonts w:ascii="Tw Cen MT" w:hAnsi="Tw Cen MT"/>
          <w:bCs/>
        </w:rPr>
      </w:pPr>
      <w:r>
        <w:rPr>
          <w:rFonts w:ascii="Tw Cen MT" w:hAnsi="Tw Cen MT"/>
          <w:bCs/>
        </w:rPr>
        <w:t xml:space="preserve">Concorde Career Colleges responded to our July 26, </w:t>
      </w:r>
      <w:proofErr w:type="gramStart"/>
      <w:r>
        <w:rPr>
          <w:rFonts w:ascii="Tw Cen MT" w:hAnsi="Tw Cen MT"/>
          <w:bCs/>
        </w:rPr>
        <w:t>2021</w:t>
      </w:r>
      <w:proofErr w:type="gramEnd"/>
      <w:r>
        <w:rPr>
          <w:rFonts w:ascii="Tw Cen MT" w:hAnsi="Tw Cen MT"/>
          <w:bCs/>
        </w:rPr>
        <w:t xml:space="preserve"> report on September 17, 2021, providing an additional 534 pages of documentation.</w:t>
      </w:r>
      <w:r w:rsidR="00600BD6">
        <w:rPr>
          <w:rFonts w:ascii="Tw Cen MT" w:hAnsi="Tw Cen MT"/>
          <w:bCs/>
        </w:rPr>
        <w:t xml:space="preserve"> </w:t>
      </w:r>
      <w:r>
        <w:rPr>
          <w:rFonts w:ascii="Tw Cen MT" w:hAnsi="Tw Cen MT"/>
          <w:bCs/>
        </w:rPr>
        <w:t xml:space="preserve">In this document, we address </w:t>
      </w:r>
      <w:r w:rsidR="006F4691">
        <w:rPr>
          <w:rFonts w:ascii="Tw Cen MT" w:hAnsi="Tw Cen MT"/>
          <w:bCs/>
        </w:rPr>
        <w:t xml:space="preserve">Concorde’s response to </w:t>
      </w:r>
      <w:r>
        <w:rPr>
          <w:rFonts w:ascii="Tw Cen MT" w:hAnsi="Tw Cen MT"/>
          <w:bCs/>
        </w:rPr>
        <w:t xml:space="preserve">each of the Institutional Recommendations from our initial report. </w:t>
      </w:r>
    </w:p>
    <w:p w14:paraId="3680B087" w14:textId="77777777" w:rsidR="003632A8" w:rsidRDefault="003632A8" w:rsidP="003632A8">
      <w:pPr>
        <w:rPr>
          <w:rFonts w:ascii="Tw Cen MT" w:hAnsi="Tw Cen MT"/>
          <w:b/>
        </w:rPr>
      </w:pPr>
    </w:p>
    <w:p w14:paraId="7D6A42A1" w14:textId="77777777" w:rsidR="003632A8" w:rsidRPr="002E4D11" w:rsidRDefault="003632A8" w:rsidP="003632A8">
      <w:pPr>
        <w:jc w:val="center"/>
        <w:rPr>
          <w:rFonts w:ascii="Tw Cen MT" w:hAnsi="Tw Cen MT"/>
          <w:b/>
          <w:iCs/>
        </w:rPr>
      </w:pPr>
    </w:p>
    <w:p w14:paraId="708B21BB" w14:textId="2B07488D" w:rsidR="003632A8" w:rsidRDefault="003632A8" w:rsidP="003632A8">
      <w:pPr>
        <w:pStyle w:val="ListParagraph"/>
        <w:numPr>
          <w:ilvl w:val="0"/>
          <w:numId w:val="1"/>
        </w:numPr>
        <w:rPr>
          <w:rFonts w:ascii="Tw Cen MT" w:hAnsi="Tw Cen MT"/>
          <w:b/>
          <w:iCs/>
        </w:rPr>
      </w:pPr>
      <w:r>
        <w:rPr>
          <w:rFonts w:ascii="Tw Cen MT" w:hAnsi="Tw Cen MT"/>
          <w:b/>
          <w:iCs/>
        </w:rPr>
        <w:t>Provide documentation clarifying the status of institutional accreditation by ACCSC.</w:t>
      </w:r>
    </w:p>
    <w:p w14:paraId="517701A5" w14:textId="7F8F23F8" w:rsidR="003632A8" w:rsidRDefault="003632A8" w:rsidP="003632A8">
      <w:pPr>
        <w:pStyle w:val="ListParagraph"/>
        <w:rPr>
          <w:rFonts w:ascii="Tw Cen MT" w:hAnsi="Tw Cen MT"/>
          <w:b/>
          <w:iCs/>
        </w:rPr>
      </w:pPr>
    </w:p>
    <w:p w14:paraId="3163E438" w14:textId="3A1A366C" w:rsidR="0001320D" w:rsidRPr="0001320D" w:rsidRDefault="0001320D" w:rsidP="003632A8">
      <w:pPr>
        <w:pStyle w:val="ListParagraph"/>
        <w:rPr>
          <w:rFonts w:ascii="Tw Cen MT" w:hAnsi="Tw Cen MT"/>
          <w:bCs/>
          <w:iCs/>
        </w:rPr>
      </w:pPr>
      <w:r>
        <w:rPr>
          <w:rFonts w:ascii="Tw Cen MT" w:hAnsi="Tw Cen MT"/>
          <w:bCs/>
          <w:iCs/>
        </w:rPr>
        <w:t xml:space="preserve">The </w:t>
      </w:r>
      <w:r w:rsidR="005D5459">
        <w:rPr>
          <w:rFonts w:ascii="Tw Cen MT" w:hAnsi="Tw Cen MT"/>
          <w:bCs/>
          <w:iCs/>
        </w:rPr>
        <w:t>response</w:t>
      </w:r>
      <w:r>
        <w:rPr>
          <w:rFonts w:ascii="Tw Cen MT" w:hAnsi="Tw Cen MT"/>
          <w:bCs/>
          <w:iCs/>
        </w:rPr>
        <w:t xml:space="preserve"> is satisfactory, and ACCSC staff verified that </w:t>
      </w:r>
      <w:r w:rsidR="00262DC9">
        <w:rPr>
          <w:rFonts w:ascii="Tw Cen MT" w:hAnsi="Tw Cen MT"/>
          <w:bCs/>
          <w:iCs/>
        </w:rPr>
        <w:t xml:space="preserve">accredited schools </w:t>
      </w:r>
      <w:r>
        <w:rPr>
          <w:rFonts w:ascii="Tw Cen MT" w:hAnsi="Tw Cen MT"/>
          <w:bCs/>
          <w:iCs/>
        </w:rPr>
        <w:t>are still considered accredited while review is underway</w:t>
      </w:r>
      <w:r w:rsidR="00262DC9">
        <w:rPr>
          <w:rFonts w:ascii="Tw Cen MT" w:hAnsi="Tw Cen MT"/>
          <w:bCs/>
          <w:iCs/>
        </w:rPr>
        <w:t>, even if the stated end date for the prior period is past.</w:t>
      </w:r>
    </w:p>
    <w:p w14:paraId="2CD196B3" w14:textId="77777777" w:rsidR="0001320D" w:rsidRDefault="0001320D" w:rsidP="003632A8">
      <w:pPr>
        <w:pStyle w:val="ListParagraph"/>
        <w:rPr>
          <w:rFonts w:ascii="Tw Cen MT" w:hAnsi="Tw Cen MT"/>
          <w:b/>
          <w:iCs/>
        </w:rPr>
      </w:pPr>
    </w:p>
    <w:p w14:paraId="2499FDE5" w14:textId="152389E7" w:rsidR="003632A8" w:rsidRDefault="003632A8" w:rsidP="003632A8">
      <w:pPr>
        <w:pStyle w:val="ListParagraph"/>
        <w:numPr>
          <w:ilvl w:val="0"/>
          <w:numId w:val="1"/>
        </w:numPr>
        <w:rPr>
          <w:rFonts w:ascii="Tw Cen MT" w:hAnsi="Tw Cen MT"/>
          <w:b/>
          <w:iCs/>
        </w:rPr>
      </w:pPr>
      <w:r w:rsidRPr="002E4D11">
        <w:rPr>
          <w:rFonts w:ascii="Tw Cen MT" w:hAnsi="Tw Cen MT"/>
          <w:b/>
          <w:iCs/>
        </w:rPr>
        <w:t>Resolve the inconsistency</w:t>
      </w:r>
      <w:r>
        <w:rPr>
          <w:rFonts w:ascii="Tw Cen MT" w:hAnsi="Tw Cen MT"/>
          <w:b/>
          <w:iCs/>
        </w:rPr>
        <w:t xml:space="preserve"> about ACCSC accreditation demonstrated through the Concorde </w:t>
      </w:r>
      <w:r w:rsidRPr="002E4D11">
        <w:rPr>
          <w:rFonts w:ascii="Tw Cen MT" w:hAnsi="Tw Cen MT"/>
          <w:b/>
          <w:iCs/>
        </w:rPr>
        <w:t>Catalog</w:t>
      </w:r>
      <w:r>
        <w:rPr>
          <w:rFonts w:ascii="Tw Cen MT" w:hAnsi="Tw Cen MT"/>
          <w:b/>
          <w:iCs/>
        </w:rPr>
        <w:t xml:space="preserve"> &amp; </w:t>
      </w:r>
      <w:r w:rsidRPr="002E4D11">
        <w:rPr>
          <w:rFonts w:ascii="Tw Cen MT" w:hAnsi="Tw Cen MT"/>
          <w:b/>
          <w:iCs/>
        </w:rPr>
        <w:t>website</w:t>
      </w:r>
      <w:r>
        <w:rPr>
          <w:rFonts w:ascii="Tw Cen MT" w:hAnsi="Tw Cen MT"/>
          <w:b/>
          <w:iCs/>
        </w:rPr>
        <w:t xml:space="preserve"> on the one hand, and the ACCSC Directory on the other.</w:t>
      </w:r>
    </w:p>
    <w:p w14:paraId="0F6E1EB7" w14:textId="0E9D0403" w:rsidR="0001320D" w:rsidRDefault="0001320D" w:rsidP="0001320D">
      <w:pPr>
        <w:pStyle w:val="ListParagraph"/>
        <w:rPr>
          <w:rFonts w:ascii="Tw Cen MT" w:hAnsi="Tw Cen MT"/>
          <w:b/>
          <w:iCs/>
        </w:rPr>
      </w:pPr>
    </w:p>
    <w:p w14:paraId="38AF9D0A" w14:textId="5BB23B52" w:rsidR="0001320D" w:rsidRPr="0001320D" w:rsidRDefault="0001320D" w:rsidP="0001320D">
      <w:pPr>
        <w:pStyle w:val="ListParagraph"/>
        <w:rPr>
          <w:rFonts w:ascii="Tw Cen MT" w:hAnsi="Tw Cen MT"/>
          <w:bCs/>
          <w:iCs/>
        </w:rPr>
      </w:pPr>
      <w:r>
        <w:rPr>
          <w:rFonts w:ascii="Tw Cen MT" w:hAnsi="Tw Cen MT"/>
          <w:bCs/>
          <w:iCs/>
        </w:rPr>
        <w:t xml:space="preserve">The inconsistency persists, but the ACCSC directory is beyond the control of Concorde. The satisfactory response to </w:t>
      </w:r>
      <w:r w:rsidR="00DC0152">
        <w:rPr>
          <w:rFonts w:ascii="Tw Cen MT" w:hAnsi="Tw Cen MT"/>
          <w:bCs/>
          <w:iCs/>
        </w:rPr>
        <w:t>R</w:t>
      </w:r>
      <w:r>
        <w:rPr>
          <w:rFonts w:ascii="Tw Cen MT" w:hAnsi="Tw Cen MT"/>
          <w:bCs/>
          <w:iCs/>
        </w:rPr>
        <w:t>ecommendation 1 is sufficient.</w:t>
      </w:r>
    </w:p>
    <w:p w14:paraId="5B149C1D" w14:textId="77777777" w:rsidR="0001320D" w:rsidRDefault="0001320D" w:rsidP="0001320D">
      <w:pPr>
        <w:pStyle w:val="ListParagraph"/>
        <w:rPr>
          <w:rFonts w:ascii="Tw Cen MT" w:hAnsi="Tw Cen MT"/>
          <w:b/>
          <w:iCs/>
        </w:rPr>
      </w:pPr>
    </w:p>
    <w:p w14:paraId="03BABACC" w14:textId="485282F5" w:rsidR="0001320D" w:rsidRDefault="003632A8" w:rsidP="0001320D">
      <w:pPr>
        <w:pStyle w:val="ListParagraph"/>
        <w:numPr>
          <w:ilvl w:val="0"/>
          <w:numId w:val="1"/>
        </w:numPr>
        <w:rPr>
          <w:rFonts w:ascii="Tw Cen MT" w:hAnsi="Tw Cen MT"/>
          <w:b/>
        </w:rPr>
      </w:pPr>
      <w:r>
        <w:rPr>
          <w:rFonts w:ascii="Tw Cen MT" w:hAnsi="Tw Cen MT"/>
          <w:b/>
        </w:rPr>
        <w:t xml:space="preserve">Provide justification for the </w:t>
      </w:r>
      <w:r w:rsidRPr="00296D05">
        <w:rPr>
          <w:rFonts w:ascii="Tw Cen MT" w:hAnsi="Tw Cen MT"/>
          <w:b/>
        </w:rPr>
        <w:t>requi</w:t>
      </w:r>
      <w:r>
        <w:rPr>
          <w:rFonts w:ascii="Tw Cen MT" w:hAnsi="Tw Cen MT"/>
          <w:b/>
        </w:rPr>
        <w:t xml:space="preserve">rement that </w:t>
      </w:r>
      <w:r w:rsidRPr="00296D05">
        <w:rPr>
          <w:rFonts w:ascii="Tw Cen MT" w:hAnsi="Tw Cen MT"/>
          <w:b/>
        </w:rPr>
        <w:t xml:space="preserve">students sign an arbitration agreement and class action waiver as </w:t>
      </w:r>
      <w:r>
        <w:rPr>
          <w:rFonts w:ascii="Tw Cen MT" w:hAnsi="Tw Cen MT"/>
          <w:b/>
        </w:rPr>
        <w:t xml:space="preserve">a condition </w:t>
      </w:r>
      <w:r w:rsidRPr="00296D05">
        <w:rPr>
          <w:rFonts w:ascii="Tw Cen MT" w:hAnsi="Tw Cen MT"/>
          <w:b/>
        </w:rPr>
        <w:t>of enrollment</w:t>
      </w:r>
    </w:p>
    <w:p w14:paraId="2076C141" w14:textId="70D7D7DD" w:rsidR="0001320D" w:rsidRDefault="0001320D" w:rsidP="0001320D">
      <w:pPr>
        <w:pStyle w:val="ListParagraph"/>
        <w:rPr>
          <w:rFonts w:ascii="Tw Cen MT" w:hAnsi="Tw Cen MT"/>
          <w:b/>
        </w:rPr>
      </w:pPr>
    </w:p>
    <w:p w14:paraId="238121D0" w14:textId="48AC357B" w:rsidR="0001320D" w:rsidRPr="00262DC9" w:rsidRDefault="0001320D" w:rsidP="00262DC9">
      <w:pPr>
        <w:pStyle w:val="ListParagraph"/>
        <w:rPr>
          <w:rFonts w:ascii="Tw Cen MT" w:hAnsi="Tw Cen MT"/>
          <w:bCs/>
        </w:rPr>
      </w:pPr>
      <w:r>
        <w:rPr>
          <w:rFonts w:ascii="Tw Cen MT" w:hAnsi="Tw Cen MT"/>
          <w:bCs/>
        </w:rPr>
        <w:t xml:space="preserve">The </w:t>
      </w:r>
      <w:r w:rsidR="005D5459">
        <w:rPr>
          <w:rFonts w:ascii="Tw Cen MT" w:hAnsi="Tw Cen MT"/>
          <w:bCs/>
        </w:rPr>
        <w:t>response</w:t>
      </w:r>
      <w:r>
        <w:rPr>
          <w:rFonts w:ascii="Tw Cen MT" w:hAnsi="Tw Cen MT"/>
          <w:bCs/>
        </w:rPr>
        <w:t xml:space="preserve"> was “</w:t>
      </w:r>
      <w:r w:rsidRPr="0001320D">
        <w:rPr>
          <w:rFonts w:ascii="Tw Cen MT" w:hAnsi="Tw Cen MT"/>
          <w:bCs/>
          <w:i/>
          <w:iCs/>
        </w:rPr>
        <w:t>Concorde’s arbitration agreement and class action waiver is permissible under the applicable regulations of the U.S. Department of Education.</w:t>
      </w:r>
      <w:r>
        <w:rPr>
          <w:rFonts w:ascii="Tw Cen MT" w:hAnsi="Tw Cen MT"/>
          <w:bCs/>
        </w:rPr>
        <w:t xml:space="preserve">” </w:t>
      </w:r>
      <w:r w:rsidR="007426C4">
        <w:rPr>
          <w:rFonts w:ascii="Tw Cen MT" w:hAnsi="Tw Cen MT"/>
          <w:bCs/>
        </w:rPr>
        <w:t xml:space="preserve">Permissibility is not a justification in and of itself, and we remain concerned about </w:t>
      </w:r>
      <w:r w:rsidR="00DC0152">
        <w:rPr>
          <w:rFonts w:ascii="Tw Cen MT" w:hAnsi="Tw Cen MT"/>
          <w:bCs/>
        </w:rPr>
        <w:t xml:space="preserve">the </w:t>
      </w:r>
      <w:r w:rsidR="007426C4">
        <w:rPr>
          <w:rFonts w:ascii="Tw Cen MT" w:hAnsi="Tw Cen MT"/>
          <w:bCs/>
        </w:rPr>
        <w:t xml:space="preserve">extent of students’ ability to resolve disputes with the institution. </w:t>
      </w:r>
      <w:r w:rsidR="00262DC9">
        <w:rPr>
          <w:rFonts w:ascii="Tw Cen MT" w:hAnsi="Tw Cen MT"/>
          <w:bCs/>
        </w:rPr>
        <w:t>In our many years reviewing colleges and universities for Colorado and other states, this is the first time we have encountered such requirements for enrollment.</w:t>
      </w:r>
    </w:p>
    <w:p w14:paraId="72CE5676" w14:textId="77777777" w:rsidR="0001320D" w:rsidRDefault="0001320D" w:rsidP="0001320D">
      <w:pPr>
        <w:pStyle w:val="ListParagraph"/>
        <w:rPr>
          <w:rFonts w:ascii="Tw Cen MT" w:hAnsi="Tw Cen MT"/>
          <w:b/>
          <w:iCs/>
        </w:rPr>
      </w:pPr>
    </w:p>
    <w:p w14:paraId="25F0C5E1" w14:textId="44A45070" w:rsidR="003632A8" w:rsidRDefault="003632A8" w:rsidP="003632A8">
      <w:pPr>
        <w:pStyle w:val="ListParagraph"/>
        <w:numPr>
          <w:ilvl w:val="0"/>
          <w:numId w:val="1"/>
        </w:numPr>
        <w:rPr>
          <w:rFonts w:ascii="Tw Cen MT" w:hAnsi="Tw Cen MT"/>
          <w:b/>
          <w:iCs/>
        </w:rPr>
      </w:pPr>
      <w:r w:rsidRPr="002E4D11">
        <w:rPr>
          <w:rFonts w:ascii="Tw Cen MT" w:hAnsi="Tw Cen MT"/>
          <w:b/>
          <w:iCs/>
        </w:rPr>
        <w:t>Clarify whether Concorde plans to obtain nursing-specific program accreditation. If so, provide the timeline for achieving this accreditation.</w:t>
      </w:r>
    </w:p>
    <w:p w14:paraId="6EAEA20A" w14:textId="31D35121" w:rsidR="00262DC9" w:rsidRDefault="00262DC9" w:rsidP="00262DC9">
      <w:pPr>
        <w:pStyle w:val="ListParagraph"/>
        <w:rPr>
          <w:rFonts w:ascii="Tw Cen MT" w:hAnsi="Tw Cen MT"/>
          <w:bCs/>
          <w:iCs/>
        </w:rPr>
      </w:pPr>
    </w:p>
    <w:p w14:paraId="58B449D9" w14:textId="4F59AB36" w:rsidR="00262DC9" w:rsidRPr="005D5459" w:rsidRDefault="00262DC9" w:rsidP="005D5459">
      <w:pPr>
        <w:pStyle w:val="ListParagraph"/>
        <w:rPr>
          <w:rFonts w:ascii="Tw Cen MT" w:hAnsi="Tw Cen MT"/>
          <w:bCs/>
          <w:iCs/>
        </w:rPr>
      </w:pPr>
      <w:r>
        <w:rPr>
          <w:rFonts w:ascii="Tw Cen MT" w:hAnsi="Tw Cen MT"/>
          <w:bCs/>
          <w:iCs/>
        </w:rPr>
        <w:t xml:space="preserve">The </w:t>
      </w:r>
      <w:r w:rsidR="005D5459">
        <w:rPr>
          <w:rFonts w:ascii="Tw Cen MT" w:hAnsi="Tw Cen MT"/>
          <w:bCs/>
          <w:iCs/>
        </w:rPr>
        <w:t>response</w:t>
      </w:r>
      <w:r>
        <w:rPr>
          <w:rFonts w:ascii="Tw Cen MT" w:hAnsi="Tw Cen MT"/>
          <w:bCs/>
          <w:iCs/>
        </w:rPr>
        <w:t xml:space="preserve"> is satisfactory</w:t>
      </w:r>
      <w:r w:rsidR="005D5459">
        <w:rPr>
          <w:rFonts w:ascii="Tw Cen MT" w:hAnsi="Tw Cen MT"/>
          <w:bCs/>
          <w:iCs/>
        </w:rPr>
        <w:t>:</w:t>
      </w:r>
      <w:r w:rsidR="005D5459">
        <w:rPr>
          <w:rFonts w:ascii="Tw Cen MT" w:hAnsi="Tw Cen MT"/>
          <w:bCs/>
          <w:iCs/>
        </w:rPr>
        <w:br/>
      </w:r>
      <w:r w:rsidR="00DC0152">
        <w:rPr>
          <w:rFonts w:ascii="Tw Cen MT" w:hAnsi="Tw Cen MT"/>
          <w:bCs/>
          <w:i/>
        </w:rPr>
        <w:t>“</w:t>
      </w:r>
      <w:r w:rsidR="005D5459" w:rsidRPr="005D5459">
        <w:rPr>
          <w:rFonts w:ascii="Tw Cen MT" w:hAnsi="Tw Cen MT"/>
          <w:bCs/>
          <w:i/>
        </w:rPr>
        <w:t xml:space="preserve">Concorde will pursue national nursing accreditation thru the Accreditation Commission for Education in Nursing (ACEN). Application will be made after the first </w:t>
      </w:r>
      <w:r w:rsidR="005D5459" w:rsidRPr="005D5459">
        <w:rPr>
          <w:rFonts w:ascii="Tw Cen MT" w:hAnsi="Tw Cen MT"/>
          <w:bCs/>
          <w:i/>
        </w:rPr>
        <w:lastRenderedPageBreak/>
        <w:t>cohort starts and a site visit will be conducted by ACEN while students are in the first cohort. ACEN could then grant Initial Accreditation upon graduation of the first cohort, after official NCLEX RN® pass rate outcomes are available for review.</w:t>
      </w:r>
      <w:r w:rsidR="00DC0152">
        <w:rPr>
          <w:rFonts w:ascii="Tw Cen MT" w:hAnsi="Tw Cen MT"/>
          <w:bCs/>
          <w:i/>
        </w:rPr>
        <w:t>”</w:t>
      </w:r>
      <w:r w:rsidR="005D5459" w:rsidRPr="005D5459">
        <w:rPr>
          <w:rFonts w:ascii="Tw Cen MT" w:hAnsi="Tw Cen MT"/>
          <w:bCs/>
          <w:iCs/>
        </w:rPr>
        <w:t xml:space="preserve"> </w:t>
      </w:r>
    </w:p>
    <w:p w14:paraId="20E41EFC" w14:textId="31B569CE" w:rsidR="003632A8" w:rsidRDefault="003632A8" w:rsidP="003632A8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Provide an organizational chart for the Aurora campus.</w:t>
      </w:r>
    </w:p>
    <w:p w14:paraId="59423106" w14:textId="4638440E" w:rsidR="00600BD6" w:rsidRDefault="00600BD6" w:rsidP="00600BD6">
      <w:pPr>
        <w:pStyle w:val="ListParagraph"/>
        <w:rPr>
          <w:rFonts w:ascii="Calibri" w:hAnsi="Calibri" w:cs="Calibri"/>
          <w:b/>
          <w:bCs/>
        </w:rPr>
      </w:pPr>
      <w:r>
        <w:rPr>
          <w:rFonts w:ascii="Tw Cen MT" w:hAnsi="Tw Cen MT"/>
          <w:bCs/>
          <w:iCs/>
        </w:rPr>
        <w:t xml:space="preserve">The </w:t>
      </w:r>
      <w:r w:rsidR="005D5459">
        <w:rPr>
          <w:rFonts w:ascii="Tw Cen MT" w:hAnsi="Tw Cen MT"/>
          <w:bCs/>
          <w:iCs/>
        </w:rPr>
        <w:t>response</w:t>
      </w:r>
      <w:r>
        <w:rPr>
          <w:rFonts w:ascii="Tw Cen MT" w:hAnsi="Tw Cen MT"/>
          <w:bCs/>
          <w:iCs/>
        </w:rPr>
        <w:t xml:space="preserve"> is satisfactory.</w:t>
      </w:r>
    </w:p>
    <w:p w14:paraId="6A855FA5" w14:textId="763F4992" w:rsidR="003632A8" w:rsidRDefault="003632A8" w:rsidP="003632A8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Provide corporate bylaws.</w:t>
      </w:r>
    </w:p>
    <w:p w14:paraId="27CC3797" w14:textId="3063BC74" w:rsidR="00600BD6" w:rsidRDefault="00600BD6" w:rsidP="00600BD6">
      <w:pPr>
        <w:pStyle w:val="ListParagraph"/>
        <w:rPr>
          <w:rFonts w:ascii="Calibri" w:hAnsi="Calibri" w:cs="Calibri"/>
          <w:b/>
          <w:bCs/>
        </w:rPr>
      </w:pPr>
      <w:r>
        <w:rPr>
          <w:rFonts w:ascii="Tw Cen MT" w:hAnsi="Tw Cen MT"/>
          <w:bCs/>
          <w:iCs/>
        </w:rPr>
        <w:t xml:space="preserve">The </w:t>
      </w:r>
      <w:r w:rsidR="005D5459">
        <w:rPr>
          <w:rFonts w:ascii="Tw Cen MT" w:hAnsi="Tw Cen MT"/>
          <w:bCs/>
          <w:iCs/>
        </w:rPr>
        <w:t>response</w:t>
      </w:r>
      <w:r>
        <w:rPr>
          <w:rFonts w:ascii="Tw Cen MT" w:hAnsi="Tw Cen MT"/>
          <w:bCs/>
          <w:iCs/>
        </w:rPr>
        <w:t xml:space="preserve"> is satisfactory</w:t>
      </w:r>
      <w:r w:rsidR="00DC0152">
        <w:rPr>
          <w:rFonts w:ascii="Tw Cen MT" w:hAnsi="Tw Cen MT"/>
          <w:bCs/>
          <w:iCs/>
        </w:rPr>
        <w:t>. T</w:t>
      </w:r>
      <w:r w:rsidR="0075645E">
        <w:rPr>
          <w:rFonts w:ascii="Tw Cen MT" w:hAnsi="Tw Cen MT"/>
          <w:bCs/>
          <w:iCs/>
        </w:rPr>
        <w:t xml:space="preserve">he bylaws </w:t>
      </w:r>
      <w:r w:rsidR="00DC0152">
        <w:rPr>
          <w:rFonts w:ascii="Tw Cen MT" w:hAnsi="Tw Cen MT"/>
          <w:bCs/>
          <w:iCs/>
        </w:rPr>
        <w:t>date from 1988.</w:t>
      </w:r>
    </w:p>
    <w:p w14:paraId="19B31C54" w14:textId="607D6A01" w:rsidR="003632A8" w:rsidRDefault="003632A8" w:rsidP="003632A8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Provide CVs for the administrative leadership.</w:t>
      </w:r>
    </w:p>
    <w:p w14:paraId="46589383" w14:textId="49E9D4B8" w:rsidR="00600BD6" w:rsidRDefault="00600BD6" w:rsidP="00600BD6">
      <w:pPr>
        <w:pStyle w:val="ListParagraph"/>
        <w:rPr>
          <w:rFonts w:ascii="Tw Cen MT" w:hAnsi="Tw Cen MT"/>
          <w:bCs/>
          <w:iCs/>
        </w:rPr>
      </w:pPr>
      <w:r>
        <w:rPr>
          <w:rFonts w:ascii="Tw Cen MT" w:hAnsi="Tw Cen MT"/>
          <w:bCs/>
          <w:iCs/>
        </w:rPr>
        <w:t xml:space="preserve">The </w:t>
      </w:r>
      <w:r w:rsidR="005D5459">
        <w:rPr>
          <w:rFonts w:ascii="Tw Cen MT" w:hAnsi="Tw Cen MT"/>
          <w:bCs/>
          <w:iCs/>
        </w:rPr>
        <w:t>response</w:t>
      </w:r>
      <w:r>
        <w:rPr>
          <w:rFonts w:ascii="Tw Cen MT" w:hAnsi="Tw Cen MT"/>
          <w:bCs/>
          <w:iCs/>
        </w:rPr>
        <w:t xml:space="preserve"> is satisfactory.</w:t>
      </w:r>
    </w:p>
    <w:p w14:paraId="61FF8590" w14:textId="77777777" w:rsidR="00600BD6" w:rsidRDefault="00600BD6" w:rsidP="00600BD6">
      <w:pPr>
        <w:pStyle w:val="ListParagraph"/>
        <w:rPr>
          <w:rFonts w:ascii="Calibri" w:hAnsi="Calibri" w:cs="Calibri"/>
          <w:b/>
          <w:bCs/>
        </w:rPr>
      </w:pPr>
    </w:p>
    <w:p w14:paraId="07527EC3" w14:textId="77777777" w:rsidR="003632A8" w:rsidRPr="00266560" w:rsidRDefault="003632A8" w:rsidP="003632A8">
      <w:pPr>
        <w:pStyle w:val="ListParagraph"/>
        <w:numPr>
          <w:ilvl w:val="0"/>
          <w:numId w:val="1"/>
        </w:numPr>
        <w:rPr>
          <w:rFonts w:ascii="Tw Cen MT" w:hAnsi="Tw Cen MT"/>
          <w:b/>
          <w:iCs/>
        </w:rPr>
      </w:pPr>
      <w:r>
        <w:rPr>
          <w:rFonts w:ascii="Tw Cen MT" w:hAnsi="Tw Cen MT"/>
          <w:b/>
          <w:iCs/>
        </w:rPr>
        <w:t>Provide a</w:t>
      </w:r>
      <w:r w:rsidRPr="00266560">
        <w:rPr>
          <w:rFonts w:ascii="Tw Cen MT" w:hAnsi="Tw Cen MT"/>
          <w:b/>
          <w:iCs/>
        </w:rPr>
        <w:t xml:space="preserve"> timeline for hiring BSN program leadership (e.g., a Director of Nursing Education Program)</w:t>
      </w:r>
      <w:r>
        <w:rPr>
          <w:rFonts w:ascii="Tw Cen MT" w:hAnsi="Tw Cen MT"/>
          <w:b/>
          <w:iCs/>
        </w:rPr>
        <w:t xml:space="preserve"> and describe </w:t>
      </w:r>
      <w:r w:rsidRPr="00266560">
        <w:rPr>
          <w:rFonts w:ascii="Tw Cen MT" w:hAnsi="Tw Cen MT"/>
          <w:b/>
          <w:iCs/>
        </w:rPr>
        <w:t>their role in hiring or other program startup activities.</w:t>
      </w:r>
    </w:p>
    <w:p w14:paraId="433649E3" w14:textId="77777777" w:rsidR="00600BD6" w:rsidRPr="00600BD6" w:rsidRDefault="00600BD6" w:rsidP="00600BD6">
      <w:pPr>
        <w:rPr>
          <w:rFonts w:ascii="Tw Cen MT" w:hAnsi="Tw Cen MT"/>
          <w:b/>
          <w:iCs/>
        </w:rPr>
      </w:pPr>
    </w:p>
    <w:p w14:paraId="7A84522D" w14:textId="4D0B517D" w:rsidR="00600BD6" w:rsidRDefault="00600BD6" w:rsidP="00600BD6">
      <w:pPr>
        <w:pStyle w:val="ListParagraph"/>
        <w:rPr>
          <w:rFonts w:ascii="Calibri" w:hAnsi="Calibri" w:cs="Calibri"/>
          <w:b/>
          <w:bCs/>
        </w:rPr>
      </w:pPr>
      <w:r>
        <w:rPr>
          <w:rFonts w:ascii="Tw Cen MT" w:hAnsi="Tw Cen MT"/>
          <w:bCs/>
          <w:iCs/>
        </w:rPr>
        <w:t xml:space="preserve">The </w:t>
      </w:r>
      <w:r w:rsidR="005D5459">
        <w:rPr>
          <w:rFonts w:ascii="Tw Cen MT" w:hAnsi="Tw Cen MT"/>
          <w:bCs/>
          <w:iCs/>
        </w:rPr>
        <w:t>response</w:t>
      </w:r>
      <w:r>
        <w:rPr>
          <w:rFonts w:ascii="Tw Cen MT" w:hAnsi="Tw Cen MT"/>
          <w:bCs/>
          <w:iCs/>
        </w:rPr>
        <w:t xml:space="preserve"> is satisfactory.</w:t>
      </w:r>
    </w:p>
    <w:p w14:paraId="3FE26128" w14:textId="77777777" w:rsidR="00600BD6" w:rsidRPr="00600BD6" w:rsidRDefault="00600BD6" w:rsidP="00600BD6">
      <w:pPr>
        <w:rPr>
          <w:rFonts w:ascii="Tw Cen MT" w:hAnsi="Tw Cen MT"/>
          <w:b/>
          <w:iCs/>
        </w:rPr>
      </w:pPr>
    </w:p>
    <w:p w14:paraId="02D5B3D1" w14:textId="14BD5E96" w:rsidR="003632A8" w:rsidRDefault="003632A8" w:rsidP="003632A8">
      <w:pPr>
        <w:pStyle w:val="ListParagraph"/>
        <w:numPr>
          <w:ilvl w:val="0"/>
          <w:numId w:val="1"/>
        </w:numPr>
        <w:rPr>
          <w:rFonts w:ascii="Tw Cen MT" w:hAnsi="Tw Cen MT"/>
          <w:b/>
          <w:iCs/>
        </w:rPr>
      </w:pPr>
      <w:r>
        <w:rPr>
          <w:rFonts w:ascii="Tw Cen MT" w:hAnsi="Tw Cen MT"/>
          <w:b/>
          <w:iCs/>
        </w:rPr>
        <w:t>Provide information about faculty, including:</w:t>
      </w:r>
    </w:p>
    <w:p w14:paraId="5B601C82" w14:textId="21641614" w:rsidR="003632A8" w:rsidRDefault="003632A8" w:rsidP="003632A8">
      <w:pPr>
        <w:pStyle w:val="ListParagraph"/>
        <w:numPr>
          <w:ilvl w:val="1"/>
          <w:numId w:val="1"/>
        </w:numPr>
        <w:rPr>
          <w:rFonts w:ascii="Tw Cen MT" w:hAnsi="Tw Cen MT"/>
          <w:b/>
          <w:iCs/>
        </w:rPr>
      </w:pPr>
      <w:r>
        <w:rPr>
          <w:rFonts w:ascii="Tw Cen MT" w:hAnsi="Tw Cen MT"/>
          <w:b/>
          <w:iCs/>
        </w:rPr>
        <w:t>CVs of current faculty who will teach in the BSN program</w:t>
      </w:r>
    </w:p>
    <w:p w14:paraId="713ED4EC" w14:textId="77777777" w:rsidR="008D7054" w:rsidRDefault="008D7054" w:rsidP="008D7054">
      <w:pPr>
        <w:pStyle w:val="ListParagraph"/>
        <w:ind w:left="1440"/>
        <w:rPr>
          <w:rFonts w:ascii="Tw Cen MT" w:hAnsi="Tw Cen MT"/>
          <w:bCs/>
          <w:iCs/>
        </w:rPr>
      </w:pPr>
    </w:p>
    <w:p w14:paraId="17AFCD38" w14:textId="70094424" w:rsidR="008D7054" w:rsidRDefault="008D7054" w:rsidP="008D7054">
      <w:pPr>
        <w:pStyle w:val="ListParagraph"/>
        <w:ind w:left="1440"/>
        <w:rPr>
          <w:rFonts w:ascii="Tw Cen MT" w:hAnsi="Tw Cen MT"/>
          <w:bCs/>
          <w:iCs/>
        </w:rPr>
      </w:pPr>
      <w:r>
        <w:rPr>
          <w:rFonts w:ascii="Tw Cen MT" w:hAnsi="Tw Cen MT"/>
          <w:bCs/>
          <w:iCs/>
        </w:rPr>
        <w:t xml:space="preserve">The </w:t>
      </w:r>
      <w:r w:rsidR="005D5459">
        <w:rPr>
          <w:rFonts w:ascii="Tw Cen MT" w:hAnsi="Tw Cen MT"/>
          <w:bCs/>
          <w:iCs/>
        </w:rPr>
        <w:t>response</w:t>
      </w:r>
      <w:r>
        <w:rPr>
          <w:rFonts w:ascii="Tw Cen MT" w:hAnsi="Tw Cen MT"/>
          <w:bCs/>
          <w:iCs/>
        </w:rPr>
        <w:t xml:space="preserve"> is satisfactory.</w:t>
      </w:r>
    </w:p>
    <w:p w14:paraId="2E9C5718" w14:textId="77777777" w:rsidR="008D7054" w:rsidRDefault="008D7054" w:rsidP="008D7054">
      <w:pPr>
        <w:pStyle w:val="ListParagraph"/>
        <w:ind w:left="1440"/>
        <w:rPr>
          <w:rFonts w:ascii="Tw Cen MT" w:hAnsi="Tw Cen MT"/>
          <w:b/>
          <w:iCs/>
        </w:rPr>
      </w:pPr>
    </w:p>
    <w:p w14:paraId="1132A14A" w14:textId="127B4E02" w:rsidR="003632A8" w:rsidRDefault="003632A8" w:rsidP="003632A8">
      <w:pPr>
        <w:pStyle w:val="ListParagraph"/>
        <w:numPr>
          <w:ilvl w:val="1"/>
          <w:numId w:val="1"/>
        </w:numPr>
        <w:rPr>
          <w:rFonts w:ascii="Tw Cen MT" w:hAnsi="Tw Cen MT"/>
          <w:b/>
          <w:iCs/>
        </w:rPr>
      </w:pPr>
      <w:r w:rsidRPr="00A67FCC">
        <w:rPr>
          <w:rFonts w:ascii="Tw Cen MT" w:hAnsi="Tw Cen MT"/>
          <w:b/>
          <w:iCs/>
        </w:rPr>
        <w:t>Description of faculty responsibilities</w:t>
      </w:r>
    </w:p>
    <w:p w14:paraId="1F6C6856" w14:textId="1CEB7B45" w:rsidR="008D7054" w:rsidRDefault="008D7054" w:rsidP="008D7054">
      <w:pPr>
        <w:pStyle w:val="ListParagraph"/>
        <w:ind w:left="1440"/>
        <w:rPr>
          <w:rFonts w:ascii="Tw Cen MT" w:hAnsi="Tw Cen MT"/>
          <w:b/>
          <w:iCs/>
        </w:rPr>
      </w:pPr>
    </w:p>
    <w:p w14:paraId="10E4B93F" w14:textId="32EBD72F" w:rsidR="008D7054" w:rsidRDefault="008D7054" w:rsidP="008D7054">
      <w:pPr>
        <w:pStyle w:val="ListParagraph"/>
        <w:ind w:left="1440"/>
        <w:rPr>
          <w:rFonts w:ascii="Tw Cen MT" w:hAnsi="Tw Cen MT"/>
          <w:bCs/>
          <w:iCs/>
        </w:rPr>
      </w:pPr>
      <w:r>
        <w:rPr>
          <w:rFonts w:ascii="Tw Cen MT" w:hAnsi="Tw Cen MT"/>
          <w:bCs/>
          <w:iCs/>
        </w:rPr>
        <w:t xml:space="preserve">The </w:t>
      </w:r>
      <w:r w:rsidR="005D5459">
        <w:rPr>
          <w:rFonts w:ascii="Tw Cen MT" w:hAnsi="Tw Cen MT"/>
          <w:bCs/>
          <w:iCs/>
        </w:rPr>
        <w:t>response</w:t>
      </w:r>
      <w:r>
        <w:rPr>
          <w:rFonts w:ascii="Tw Cen MT" w:hAnsi="Tw Cen MT"/>
          <w:bCs/>
          <w:iCs/>
        </w:rPr>
        <w:t xml:space="preserve"> is satisfactory.</w:t>
      </w:r>
    </w:p>
    <w:p w14:paraId="3FF93281" w14:textId="77777777" w:rsidR="008D7054" w:rsidRPr="00A67FCC" w:rsidRDefault="008D7054" w:rsidP="008D7054">
      <w:pPr>
        <w:pStyle w:val="ListParagraph"/>
        <w:ind w:left="1440"/>
        <w:rPr>
          <w:rFonts w:ascii="Tw Cen MT" w:hAnsi="Tw Cen MT"/>
          <w:b/>
          <w:iCs/>
        </w:rPr>
      </w:pPr>
    </w:p>
    <w:p w14:paraId="0FEBBFEB" w14:textId="77777777" w:rsidR="008D7054" w:rsidRDefault="003632A8" w:rsidP="008D7054">
      <w:pPr>
        <w:pStyle w:val="ListParagraph"/>
        <w:numPr>
          <w:ilvl w:val="1"/>
          <w:numId w:val="1"/>
        </w:numPr>
        <w:rPr>
          <w:rFonts w:ascii="Tw Cen MT" w:hAnsi="Tw Cen MT"/>
          <w:b/>
          <w:iCs/>
        </w:rPr>
      </w:pPr>
      <w:r w:rsidRPr="00A67FCC">
        <w:rPr>
          <w:rFonts w:ascii="Tw Cen MT" w:hAnsi="Tw Cen MT"/>
          <w:b/>
          <w:iCs/>
        </w:rPr>
        <w:t>Faculty position descriptions (for both General Education and BSN technical faculty)</w:t>
      </w:r>
    </w:p>
    <w:p w14:paraId="622E4168" w14:textId="77777777" w:rsidR="008D7054" w:rsidRDefault="008D7054" w:rsidP="008D7054">
      <w:pPr>
        <w:pStyle w:val="ListParagraph"/>
        <w:ind w:left="1440"/>
        <w:rPr>
          <w:rFonts w:ascii="Tw Cen MT" w:hAnsi="Tw Cen MT"/>
          <w:b/>
          <w:iCs/>
        </w:rPr>
      </w:pPr>
    </w:p>
    <w:p w14:paraId="239024F9" w14:textId="66F7A7E0" w:rsidR="008D7054" w:rsidRDefault="008D7054" w:rsidP="008D7054">
      <w:pPr>
        <w:pStyle w:val="ListParagraph"/>
        <w:ind w:left="1440"/>
        <w:rPr>
          <w:rFonts w:ascii="Tw Cen MT" w:hAnsi="Tw Cen MT"/>
          <w:bCs/>
          <w:iCs/>
        </w:rPr>
      </w:pPr>
      <w:r>
        <w:rPr>
          <w:rFonts w:ascii="Tw Cen MT" w:hAnsi="Tw Cen MT"/>
          <w:bCs/>
          <w:iCs/>
        </w:rPr>
        <w:t xml:space="preserve">The </w:t>
      </w:r>
      <w:r w:rsidR="005D5459">
        <w:rPr>
          <w:rFonts w:ascii="Tw Cen MT" w:hAnsi="Tw Cen MT"/>
          <w:bCs/>
          <w:iCs/>
        </w:rPr>
        <w:t>response</w:t>
      </w:r>
      <w:r>
        <w:rPr>
          <w:rFonts w:ascii="Tw Cen MT" w:hAnsi="Tw Cen MT"/>
          <w:bCs/>
          <w:iCs/>
        </w:rPr>
        <w:t xml:space="preserve"> is satisfactory.</w:t>
      </w:r>
    </w:p>
    <w:p w14:paraId="5E625A3D" w14:textId="6BE73766" w:rsidR="003632A8" w:rsidRPr="00A67FCC" w:rsidRDefault="003632A8" w:rsidP="008D7054">
      <w:pPr>
        <w:pStyle w:val="ListParagraph"/>
        <w:ind w:left="1440"/>
        <w:rPr>
          <w:rFonts w:ascii="Tw Cen MT" w:hAnsi="Tw Cen MT"/>
          <w:b/>
          <w:iCs/>
        </w:rPr>
      </w:pPr>
    </w:p>
    <w:p w14:paraId="2045472E" w14:textId="77777777" w:rsidR="008D7054" w:rsidRDefault="003632A8" w:rsidP="008D7054">
      <w:pPr>
        <w:pStyle w:val="ListParagraph"/>
        <w:numPr>
          <w:ilvl w:val="1"/>
          <w:numId w:val="1"/>
        </w:numPr>
        <w:rPr>
          <w:rFonts w:ascii="Tw Cen MT" w:hAnsi="Tw Cen MT"/>
          <w:b/>
          <w:iCs/>
        </w:rPr>
      </w:pPr>
      <w:r w:rsidRPr="00A67FCC">
        <w:rPr>
          <w:rFonts w:ascii="Tw Cen MT" w:hAnsi="Tw Cen MT"/>
          <w:b/>
          <w:iCs/>
        </w:rPr>
        <w:t>A Faculty Handbook or other employee policy manual</w:t>
      </w:r>
    </w:p>
    <w:p w14:paraId="1CC884C2" w14:textId="77777777" w:rsidR="008D7054" w:rsidRDefault="008D7054" w:rsidP="008D7054">
      <w:pPr>
        <w:pStyle w:val="ListParagraph"/>
        <w:ind w:left="1440"/>
        <w:rPr>
          <w:rFonts w:ascii="Tw Cen MT" w:hAnsi="Tw Cen MT"/>
          <w:b/>
          <w:iCs/>
        </w:rPr>
      </w:pPr>
    </w:p>
    <w:p w14:paraId="5399C02C" w14:textId="2B3FB7BA" w:rsidR="008D7054" w:rsidRDefault="008D7054" w:rsidP="008D7054">
      <w:pPr>
        <w:pStyle w:val="ListParagraph"/>
        <w:ind w:left="1440"/>
        <w:rPr>
          <w:rFonts w:ascii="Tw Cen MT" w:hAnsi="Tw Cen MT"/>
          <w:bCs/>
          <w:iCs/>
        </w:rPr>
      </w:pPr>
      <w:r>
        <w:rPr>
          <w:rFonts w:ascii="Tw Cen MT" w:hAnsi="Tw Cen MT"/>
          <w:bCs/>
          <w:iCs/>
        </w:rPr>
        <w:t xml:space="preserve">The </w:t>
      </w:r>
      <w:r w:rsidR="005D5459">
        <w:rPr>
          <w:rFonts w:ascii="Tw Cen MT" w:hAnsi="Tw Cen MT"/>
          <w:bCs/>
          <w:iCs/>
        </w:rPr>
        <w:t>response</w:t>
      </w:r>
      <w:r>
        <w:rPr>
          <w:rFonts w:ascii="Tw Cen MT" w:hAnsi="Tw Cen MT"/>
          <w:bCs/>
          <w:iCs/>
        </w:rPr>
        <w:t xml:space="preserve"> is satisfactory.</w:t>
      </w:r>
    </w:p>
    <w:p w14:paraId="7E2CC580" w14:textId="4C6E2C94" w:rsidR="003632A8" w:rsidRPr="00A67FCC" w:rsidRDefault="003632A8" w:rsidP="008D7054">
      <w:pPr>
        <w:pStyle w:val="ListParagraph"/>
        <w:ind w:left="1440"/>
        <w:rPr>
          <w:rFonts w:ascii="Tw Cen MT" w:hAnsi="Tw Cen MT"/>
          <w:b/>
          <w:iCs/>
        </w:rPr>
      </w:pPr>
    </w:p>
    <w:p w14:paraId="39B10661" w14:textId="77777777" w:rsidR="008D7054" w:rsidRDefault="003632A8" w:rsidP="008D7054">
      <w:pPr>
        <w:pStyle w:val="ListParagraph"/>
        <w:numPr>
          <w:ilvl w:val="1"/>
          <w:numId w:val="1"/>
        </w:numPr>
        <w:rPr>
          <w:rFonts w:ascii="Tw Cen MT" w:hAnsi="Tw Cen MT"/>
          <w:b/>
          <w:iCs/>
        </w:rPr>
      </w:pPr>
      <w:r w:rsidRPr="00A67FCC">
        <w:rPr>
          <w:rFonts w:ascii="Tw Cen MT" w:hAnsi="Tw Cen MT"/>
          <w:b/>
          <w:iCs/>
        </w:rPr>
        <w:t>Indication of the existence of a Curriculum Committee or any faculty committees</w:t>
      </w:r>
    </w:p>
    <w:p w14:paraId="574E7E32" w14:textId="77777777" w:rsidR="008D7054" w:rsidRDefault="008D7054" w:rsidP="008D7054">
      <w:pPr>
        <w:pStyle w:val="ListParagraph"/>
        <w:ind w:left="1440"/>
        <w:rPr>
          <w:rFonts w:ascii="Tw Cen MT" w:hAnsi="Tw Cen MT"/>
          <w:b/>
          <w:iCs/>
        </w:rPr>
      </w:pPr>
    </w:p>
    <w:p w14:paraId="794C1E86" w14:textId="07DC473B" w:rsidR="008D7054" w:rsidRDefault="008D7054" w:rsidP="008D7054">
      <w:pPr>
        <w:pStyle w:val="ListParagraph"/>
        <w:ind w:left="1440"/>
        <w:rPr>
          <w:rFonts w:ascii="Tw Cen MT" w:hAnsi="Tw Cen MT"/>
          <w:bCs/>
          <w:iCs/>
        </w:rPr>
      </w:pPr>
      <w:r>
        <w:rPr>
          <w:rFonts w:ascii="Tw Cen MT" w:hAnsi="Tw Cen MT"/>
          <w:bCs/>
          <w:iCs/>
        </w:rPr>
        <w:t xml:space="preserve">The </w:t>
      </w:r>
      <w:r w:rsidR="005D5459">
        <w:rPr>
          <w:rFonts w:ascii="Tw Cen MT" w:hAnsi="Tw Cen MT"/>
          <w:bCs/>
          <w:iCs/>
        </w:rPr>
        <w:t>response</w:t>
      </w:r>
      <w:r>
        <w:rPr>
          <w:rFonts w:ascii="Tw Cen MT" w:hAnsi="Tw Cen MT"/>
          <w:bCs/>
          <w:iCs/>
        </w:rPr>
        <w:t xml:space="preserve"> is satisfactory.</w:t>
      </w:r>
    </w:p>
    <w:p w14:paraId="16A1BC8F" w14:textId="783BFD20" w:rsidR="003632A8" w:rsidRPr="00A67FCC" w:rsidRDefault="003632A8" w:rsidP="008D7054">
      <w:pPr>
        <w:pStyle w:val="ListParagraph"/>
        <w:ind w:left="1440"/>
        <w:rPr>
          <w:rFonts w:ascii="Tw Cen MT" w:hAnsi="Tw Cen MT"/>
          <w:b/>
          <w:iCs/>
        </w:rPr>
      </w:pPr>
    </w:p>
    <w:p w14:paraId="3CDA61DC" w14:textId="77777777" w:rsidR="008D7054" w:rsidRDefault="003632A8" w:rsidP="008D7054">
      <w:pPr>
        <w:pStyle w:val="ListParagraph"/>
        <w:numPr>
          <w:ilvl w:val="1"/>
          <w:numId w:val="1"/>
        </w:numPr>
        <w:rPr>
          <w:rFonts w:ascii="Tw Cen MT" w:hAnsi="Tw Cen MT"/>
          <w:b/>
          <w:iCs/>
        </w:rPr>
      </w:pPr>
      <w:r w:rsidRPr="00A67FCC">
        <w:rPr>
          <w:rFonts w:ascii="Tw Cen MT" w:hAnsi="Tw Cen MT"/>
          <w:b/>
          <w:iCs/>
        </w:rPr>
        <w:t>An organizational chart for the faculty or indication of how they interface with the Administration</w:t>
      </w:r>
    </w:p>
    <w:p w14:paraId="20E9065F" w14:textId="77777777" w:rsidR="008D7054" w:rsidRDefault="008D7054" w:rsidP="008D7054">
      <w:pPr>
        <w:pStyle w:val="ListParagraph"/>
        <w:ind w:left="1440"/>
        <w:rPr>
          <w:rFonts w:ascii="Tw Cen MT" w:hAnsi="Tw Cen MT"/>
          <w:b/>
          <w:iCs/>
        </w:rPr>
      </w:pPr>
    </w:p>
    <w:p w14:paraId="55CB7391" w14:textId="6BE5E5E8" w:rsidR="003632A8" w:rsidRPr="008D7054" w:rsidRDefault="008D7054" w:rsidP="008D7054">
      <w:pPr>
        <w:pStyle w:val="ListParagraph"/>
        <w:ind w:left="1440"/>
        <w:rPr>
          <w:rFonts w:ascii="Tw Cen MT" w:hAnsi="Tw Cen MT"/>
          <w:bCs/>
          <w:iCs/>
        </w:rPr>
      </w:pPr>
      <w:r>
        <w:rPr>
          <w:rFonts w:ascii="Tw Cen MT" w:hAnsi="Tw Cen MT"/>
          <w:bCs/>
          <w:iCs/>
        </w:rPr>
        <w:lastRenderedPageBreak/>
        <w:t xml:space="preserve">The </w:t>
      </w:r>
      <w:r w:rsidR="005D5459">
        <w:rPr>
          <w:rFonts w:ascii="Tw Cen MT" w:hAnsi="Tw Cen MT"/>
          <w:bCs/>
          <w:iCs/>
        </w:rPr>
        <w:t>response</w:t>
      </w:r>
      <w:r>
        <w:rPr>
          <w:rFonts w:ascii="Tw Cen MT" w:hAnsi="Tw Cen MT"/>
          <w:bCs/>
          <w:iCs/>
        </w:rPr>
        <w:t xml:space="preserve"> is satisfactory.</w:t>
      </w:r>
    </w:p>
    <w:p w14:paraId="0A06AAFD" w14:textId="77777777" w:rsidR="008D7054" w:rsidRPr="00A67FCC" w:rsidRDefault="008D7054" w:rsidP="008D7054">
      <w:pPr>
        <w:pStyle w:val="ListParagraph"/>
        <w:ind w:left="1440"/>
        <w:rPr>
          <w:rFonts w:ascii="Tw Cen MT" w:hAnsi="Tw Cen MT"/>
          <w:b/>
          <w:iCs/>
        </w:rPr>
      </w:pPr>
    </w:p>
    <w:p w14:paraId="16C993E3" w14:textId="77777777" w:rsidR="008D7054" w:rsidRDefault="003632A8" w:rsidP="008D7054">
      <w:pPr>
        <w:pStyle w:val="ListParagraph"/>
        <w:numPr>
          <w:ilvl w:val="1"/>
          <w:numId w:val="1"/>
        </w:numPr>
        <w:rPr>
          <w:rFonts w:ascii="Tw Cen MT" w:hAnsi="Tw Cen MT"/>
          <w:b/>
          <w:iCs/>
        </w:rPr>
      </w:pPr>
      <w:r w:rsidRPr="00A67FCC">
        <w:rPr>
          <w:rFonts w:ascii="Tw Cen MT" w:hAnsi="Tw Cen MT"/>
          <w:b/>
          <w:iCs/>
        </w:rPr>
        <w:t>Description about faculty course/workload</w:t>
      </w:r>
    </w:p>
    <w:p w14:paraId="4E3B2DED" w14:textId="77777777" w:rsidR="008D7054" w:rsidRDefault="008D7054" w:rsidP="008D7054">
      <w:pPr>
        <w:pStyle w:val="ListParagraph"/>
        <w:ind w:left="1440"/>
        <w:rPr>
          <w:rFonts w:ascii="Tw Cen MT" w:hAnsi="Tw Cen MT"/>
          <w:b/>
          <w:iCs/>
        </w:rPr>
      </w:pPr>
    </w:p>
    <w:p w14:paraId="4F5DBB5B" w14:textId="47712EA9" w:rsidR="008D7054" w:rsidRDefault="008D7054" w:rsidP="008D7054">
      <w:pPr>
        <w:pStyle w:val="ListParagraph"/>
        <w:ind w:left="1440"/>
        <w:rPr>
          <w:rFonts w:ascii="Tw Cen MT" w:hAnsi="Tw Cen MT"/>
          <w:bCs/>
          <w:iCs/>
        </w:rPr>
      </w:pPr>
      <w:r>
        <w:rPr>
          <w:rFonts w:ascii="Tw Cen MT" w:hAnsi="Tw Cen MT"/>
          <w:bCs/>
          <w:iCs/>
        </w:rPr>
        <w:t xml:space="preserve">The </w:t>
      </w:r>
      <w:r w:rsidR="005D5459">
        <w:rPr>
          <w:rFonts w:ascii="Tw Cen MT" w:hAnsi="Tw Cen MT"/>
          <w:bCs/>
          <w:iCs/>
        </w:rPr>
        <w:t>response</w:t>
      </w:r>
      <w:r>
        <w:rPr>
          <w:rFonts w:ascii="Tw Cen MT" w:hAnsi="Tw Cen MT"/>
          <w:bCs/>
          <w:iCs/>
        </w:rPr>
        <w:t xml:space="preserve"> is satisfactory.</w:t>
      </w:r>
      <w:r w:rsidR="005D5459">
        <w:rPr>
          <w:rFonts w:ascii="Tw Cen MT" w:hAnsi="Tw Cen MT"/>
          <w:bCs/>
          <w:iCs/>
        </w:rPr>
        <w:t xml:space="preserve"> Workload is 28-32 hours of direct student contact.</w:t>
      </w:r>
    </w:p>
    <w:p w14:paraId="791D75A9" w14:textId="59E97F3A" w:rsidR="003632A8" w:rsidRPr="00A67FCC" w:rsidRDefault="003632A8" w:rsidP="008D7054">
      <w:pPr>
        <w:pStyle w:val="ListParagraph"/>
        <w:ind w:left="1440"/>
        <w:rPr>
          <w:rFonts w:ascii="Tw Cen MT" w:hAnsi="Tw Cen MT"/>
          <w:b/>
          <w:iCs/>
        </w:rPr>
      </w:pPr>
    </w:p>
    <w:p w14:paraId="7D82DB7A" w14:textId="6DD159AE" w:rsidR="008D7054" w:rsidRPr="008D7054" w:rsidRDefault="003632A8" w:rsidP="008D7054">
      <w:pPr>
        <w:pStyle w:val="ListParagraph"/>
        <w:numPr>
          <w:ilvl w:val="1"/>
          <w:numId w:val="1"/>
        </w:numPr>
        <w:rPr>
          <w:rFonts w:ascii="Tw Cen MT" w:hAnsi="Tw Cen MT"/>
          <w:b/>
          <w:iCs/>
        </w:rPr>
      </w:pPr>
      <w:r w:rsidRPr="00A67FCC">
        <w:rPr>
          <w:rFonts w:ascii="Tw Cen MT" w:hAnsi="Tw Cen MT"/>
          <w:b/>
          <w:iCs/>
        </w:rPr>
        <w:t>Information about whether there are promotion pathways or a tenure system for faculty</w:t>
      </w:r>
    </w:p>
    <w:p w14:paraId="202ADC8C" w14:textId="77777777" w:rsidR="008D7054" w:rsidRDefault="008D7054" w:rsidP="008D7054">
      <w:pPr>
        <w:pStyle w:val="ListParagraph"/>
        <w:ind w:left="1440"/>
        <w:rPr>
          <w:rFonts w:ascii="Tw Cen MT" w:hAnsi="Tw Cen MT"/>
          <w:b/>
          <w:iCs/>
        </w:rPr>
      </w:pPr>
    </w:p>
    <w:p w14:paraId="275B98D7" w14:textId="03BE9B6F" w:rsidR="008D7054" w:rsidRDefault="008D7054" w:rsidP="008D7054">
      <w:pPr>
        <w:pStyle w:val="ListParagraph"/>
        <w:ind w:left="1440"/>
        <w:rPr>
          <w:rFonts w:ascii="Tw Cen MT" w:hAnsi="Tw Cen MT"/>
          <w:bCs/>
          <w:iCs/>
        </w:rPr>
      </w:pPr>
      <w:r>
        <w:rPr>
          <w:rFonts w:ascii="Tw Cen MT" w:hAnsi="Tw Cen MT"/>
          <w:bCs/>
          <w:iCs/>
        </w:rPr>
        <w:t xml:space="preserve">The </w:t>
      </w:r>
      <w:r w:rsidR="005D5459">
        <w:rPr>
          <w:rFonts w:ascii="Tw Cen MT" w:hAnsi="Tw Cen MT"/>
          <w:bCs/>
          <w:iCs/>
        </w:rPr>
        <w:t>response</w:t>
      </w:r>
      <w:r>
        <w:rPr>
          <w:rFonts w:ascii="Tw Cen MT" w:hAnsi="Tw Cen MT"/>
          <w:bCs/>
          <w:iCs/>
        </w:rPr>
        <w:t xml:space="preserve"> is satisfactory.</w:t>
      </w:r>
      <w:r>
        <w:rPr>
          <w:rFonts w:ascii="Tw Cen MT" w:hAnsi="Tw Cen MT"/>
          <w:bCs/>
          <w:iCs/>
        </w:rPr>
        <w:t xml:space="preserve"> There is no tenure system.</w:t>
      </w:r>
    </w:p>
    <w:p w14:paraId="6453CA40" w14:textId="77777777" w:rsidR="008D7054" w:rsidRPr="00A67FCC" w:rsidRDefault="008D7054" w:rsidP="008D7054">
      <w:pPr>
        <w:pStyle w:val="ListParagraph"/>
        <w:ind w:left="1440"/>
        <w:rPr>
          <w:rFonts w:ascii="Tw Cen MT" w:hAnsi="Tw Cen MT"/>
          <w:b/>
          <w:iCs/>
        </w:rPr>
      </w:pPr>
    </w:p>
    <w:p w14:paraId="0357ACF3" w14:textId="77777777" w:rsidR="008D7054" w:rsidRDefault="003632A8" w:rsidP="008D7054">
      <w:pPr>
        <w:pStyle w:val="ListParagraph"/>
        <w:numPr>
          <w:ilvl w:val="1"/>
          <w:numId w:val="1"/>
        </w:numPr>
        <w:rPr>
          <w:rFonts w:ascii="Tw Cen MT" w:hAnsi="Tw Cen MT"/>
          <w:b/>
          <w:iCs/>
        </w:rPr>
      </w:pPr>
      <w:r w:rsidRPr="00A67FCC">
        <w:rPr>
          <w:rFonts w:ascii="Tw Cen MT" w:hAnsi="Tw Cen MT"/>
          <w:b/>
          <w:iCs/>
        </w:rPr>
        <w:t>Information about the budget for faculty salaries, professional development, and benefits</w:t>
      </w:r>
    </w:p>
    <w:p w14:paraId="5592AAD6" w14:textId="77777777" w:rsidR="008D7054" w:rsidRDefault="008D7054" w:rsidP="008D7054">
      <w:pPr>
        <w:pStyle w:val="ListParagraph"/>
        <w:ind w:left="1440"/>
        <w:rPr>
          <w:rFonts w:ascii="Tw Cen MT" w:hAnsi="Tw Cen MT"/>
          <w:b/>
          <w:iCs/>
        </w:rPr>
      </w:pPr>
    </w:p>
    <w:p w14:paraId="4BEC376E" w14:textId="1D26628B" w:rsidR="003632A8" w:rsidRDefault="00A823A7" w:rsidP="008D7054">
      <w:pPr>
        <w:pStyle w:val="ListParagraph"/>
        <w:ind w:left="1440"/>
        <w:rPr>
          <w:rFonts w:ascii="Tw Cen MT" w:hAnsi="Tw Cen MT"/>
          <w:bCs/>
          <w:iCs/>
        </w:rPr>
      </w:pPr>
      <w:r>
        <w:rPr>
          <w:rFonts w:ascii="Tw Cen MT" w:hAnsi="Tw Cen MT"/>
          <w:bCs/>
          <w:iCs/>
        </w:rPr>
        <w:t xml:space="preserve">The </w:t>
      </w:r>
      <w:r w:rsidR="005D5459">
        <w:rPr>
          <w:rFonts w:ascii="Tw Cen MT" w:hAnsi="Tw Cen MT"/>
          <w:bCs/>
          <w:iCs/>
        </w:rPr>
        <w:t>response</w:t>
      </w:r>
      <w:r>
        <w:rPr>
          <w:rFonts w:ascii="Tw Cen MT" w:hAnsi="Tw Cen MT"/>
          <w:bCs/>
          <w:iCs/>
        </w:rPr>
        <w:t xml:space="preserve"> is satisfactory.</w:t>
      </w:r>
    </w:p>
    <w:p w14:paraId="62286207" w14:textId="77777777" w:rsidR="00A823A7" w:rsidRPr="00A67FCC" w:rsidRDefault="00A823A7" w:rsidP="008D7054">
      <w:pPr>
        <w:pStyle w:val="ListParagraph"/>
        <w:ind w:left="1440"/>
        <w:rPr>
          <w:rFonts w:ascii="Tw Cen MT" w:hAnsi="Tw Cen MT"/>
          <w:b/>
          <w:iCs/>
        </w:rPr>
      </w:pPr>
    </w:p>
    <w:p w14:paraId="2A88E91D" w14:textId="77777777" w:rsidR="008D7054" w:rsidRDefault="003632A8" w:rsidP="008D7054">
      <w:pPr>
        <w:pStyle w:val="ListParagraph"/>
        <w:numPr>
          <w:ilvl w:val="1"/>
          <w:numId w:val="1"/>
        </w:numPr>
        <w:rPr>
          <w:rFonts w:ascii="Tw Cen MT" w:hAnsi="Tw Cen MT"/>
          <w:b/>
          <w:iCs/>
        </w:rPr>
      </w:pPr>
      <w:r w:rsidRPr="00A67FCC">
        <w:rPr>
          <w:rFonts w:ascii="Tw Cen MT" w:hAnsi="Tw Cen MT"/>
          <w:b/>
          <w:iCs/>
        </w:rPr>
        <w:t>Credential expectations for faculty, and a process for evaluating them</w:t>
      </w:r>
    </w:p>
    <w:p w14:paraId="6163B967" w14:textId="77777777" w:rsidR="008D7054" w:rsidRDefault="008D7054" w:rsidP="008D7054">
      <w:pPr>
        <w:pStyle w:val="ListParagraph"/>
        <w:ind w:left="1440"/>
        <w:rPr>
          <w:rFonts w:ascii="Tw Cen MT" w:hAnsi="Tw Cen MT"/>
          <w:b/>
          <w:iCs/>
        </w:rPr>
      </w:pPr>
    </w:p>
    <w:p w14:paraId="49CC8347" w14:textId="4B95F4B6" w:rsidR="008D7054" w:rsidRDefault="008D7054" w:rsidP="008D7054">
      <w:pPr>
        <w:pStyle w:val="ListParagraph"/>
        <w:ind w:left="1440"/>
        <w:rPr>
          <w:rFonts w:ascii="Tw Cen MT" w:hAnsi="Tw Cen MT"/>
          <w:bCs/>
          <w:iCs/>
        </w:rPr>
      </w:pPr>
      <w:r>
        <w:rPr>
          <w:rFonts w:ascii="Tw Cen MT" w:hAnsi="Tw Cen MT"/>
          <w:bCs/>
          <w:iCs/>
        </w:rPr>
        <w:t xml:space="preserve">The </w:t>
      </w:r>
      <w:r w:rsidR="005D5459">
        <w:rPr>
          <w:rFonts w:ascii="Tw Cen MT" w:hAnsi="Tw Cen MT"/>
          <w:bCs/>
          <w:iCs/>
        </w:rPr>
        <w:t>response</w:t>
      </w:r>
      <w:r>
        <w:rPr>
          <w:rFonts w:ascii="Tw Cen MT" w:hAnsi="Tw Cen MT"/>
          <w:bCs/>
          <w:iCs/>
        </w:rPr>
        <w:t xml:space="preserve"> is satisfactory.</w:t>
      </w:r>
    </w:p>
    <w:p w14:paraId="40175BE4" w14:textId="45D512FC" w:rsidR="003632A8" w:rsidRPr="00A67FCC" w:rsidRDefault="003632A8" w:rsidP="008D7054">
      <w:pPr>
        <w:pStyle w:val="ListParagraph"/>
        <w:ind w:left="1440"/>
        <w:rPr>
          <w:rFonts w:ascii="Tw Cen MT" w:hAnsi="Tw Cen MT"/>
          <w:b/>
          <w:iCs/>
        </w:rPr>
      </w:pPr>
    </w:p>
    <w:p w14:paraId="1A461F5F" w14:textId="77777777" w:rsidR="008D7054" w:rsidRDefault="003632A8" w:rsidP="008D7054">
      <w:pPr>
        <w:pStyle w:val="ListParagraph"/>
        <w:numPr>
          <w:ilvl w:val="1"/>
          <w:numId w:val="1"/>
        </w:numPr>
        <w:rPr>
          <w:rFonts w:ascii="Tw Cen MT" w:hAnsi="Tw Cen MT"/>
          <w:b/>
          <w:iCs/>
        </w:rPr>
      </w:pPr>
      <w:r w:rsidRPr="00A67FCC">
        <w:rPr>
          <w:rFonts w:ascii="Tw Cen MT" w:hAnsi="Tw Cen MT"/>
          <w:b/>
          <w:iCs/>
        </w:rPr>
        <w:t>Indication about the number of full-time/permanent vs adjunct faculty</w:t>
      </w:r>
    </w:p>
    <w:p w14:paraId="0F2E407A" w14:textId="77777777" w:rsidR="008D7054" w:rsidRDefault="008D7054" w:rsidP="008D7054">
      <w:pPr>
        <w:pStyle w:val="ListParagraph"/>
        <w:ind w:left="1440"/>
        <w:rPr>
          <w:rFonts w:ascii="Tw Cen MT" w:hAnsi="Tw Cen MT"/>
          <w:b/>
          <w:iCs/>
        </w:rPr>
      </w:pPr>
    </w:p>
    <w:p w14:paraId="5B2D0701" w14:textId="05D52FFA" w:rsidR="003632A8" w:rsidRDefault="00A823A7" w:rsidP="008D7054">
      <w:pPr>
        <w:pStyle w:val="ListParagraph"/>
        <w:ind w:left="1440"/>
        <w:rPr>
          <w:rFonts w:ascii="Tw Cen MT" w:hAnsi="Tw Cen MT"/>
          <w:bCs/>
          <w:iCs/>
        </w:rPr>
      </w:pPr>
      <w:r>
        <w:rPr>
          <w:rFonts w:ascii="Tw Cen MT" w:hAnsi="Tw Cen MT"/>
          <w:bCs/>
          <w:iCs/>
        </w:rPr>
        <w:t xml:space="preserve">The </w:t>
      </w:r>
      <w:r w:rsidR="005D5459">
        <w:rPr>
          <w:rFonts w:ascii="Tw Cen MT" w:hAnsi="Tw Cen MT"/>
          <w:bCs/>
          <w:iCs/>
        </w:rPr>
        <w:t>response</w:t>
      </w:r>
      <w:r>
        <w:rPr>
          <w:rFonts w:ascii="Tw Cen MT" w:hAnsi="Tw Cen MT"/>
          <w:bCs/>
          <w:iCs/>
        </w:rPr>
        <w:t xml:space="preserve"> is satisfactory.</w:t>
      </w:r>
    </w:p>
    <w:p w14:paraId="0C5B704C" w14:textId="77777777" w:rsidR="00A823A7" w:rsidRDefault="00A823A7" w:rsidP="008D7054">
      <w:pPr>
        <w:pStyle w:val="ListParagraph"/>
        <w:ind w:left="1440"/>
        <w:rPr>
          <w:rFonts w:ascii="Tw Cen MT" w:hAnsi="Tw Cen MT"/>
          <w:b/>
          <w:iCs/>
        </w:rPr>
      </w:pPr>
    </w:p>
    <w:p w14:paraId="6E19471D" w14:textId="77777777" w:rsidR="008D7054" w:rsidRDefault="003632A8" w:rsidP="008D7054">
      <w:pPr>
        <w:pStyle w:val="ListParagraph"/>
        <w:numPr>
          <w:ilvl w:val="1"/>
          <w:numId w:val="1"/>
        </w:numPr>
        <w:rPr>
          <w:rFonts w:ascii="Tw Cen MT" w:hAnsi="Tw Cen MT"/>
          <w:b/>
          <w:iCs/>
        </w:rPr>
      </w:pPr>
      <w:r>
        <w:rPr>
          <w:rFonts w:ascii="Tw Cen MT" w:hAnsi="Tw Cen MT"/>
          <w:b/>
          <w:iCs/>
        </w:rPr>
        <w:t>Explanation of</w:t>
      </w:r>
      <w:r w:rsidRPr="00BE3279">
        <w:rPr>
          <w:rFonts w:ascii="Tw Cen MT" w:hAnsi="Tw Cen MT"/>
          <w:b/>
          <w:iCs/>
        </w:rPr>
        <w:t xml:space="preserve"> how General Education and Nursing Program Faculty members </w:t>
      </w:r>
      <w:r>
        <w:rPr>
          <w:rFonts w:ascii="Tw Cen MT" w:hAnsi="Tw Cen MT"/>
          <w:b/>
          <w:iCs/>
        </w:rPr>
        <w:t xml:space="preserve">will </w:t>
      </w:r>
      <w:r w:rsidRPr="00BE3279">
        <w:rPr>
          <w:rFonts w:ascii="Tw Cen MT" w:hAnsi="Tw Cen MT"/>
          <w:b/>
          <w:iCs/>
        </w:rPr>
        <w:t>communicate.</w:t>
      </w:r>
    </w:p>
    <w:p w14:paraId="5ACA088A" w14:textId="0ED3A77D" w:rsidR="008D7054" w:rsidRDefault="008D7054" w:rsidP="008D7054">
      <w:pPr>
        <w:pStyle w:val="ListParagraph"/>
        <w:ind w:left="1440"/>
        <w:rPr>
          <w:rFonts w:ascii="Tw Cen MT" w:hAnsi="Tw Cen MT"/>
          <w:b/>
          <w:iCs/>
        </w:rPr>
      </w:pPr>
    </w:p>
    <w:p w14:paraId="69728EA6" w14:textId="7F1481CD" w:rsidR="003632A8" w:rsidRPr="0075645E" w:rsidRDefault="0075645E" w:rsidP="0075645E">
      <w:pPr>
        <w:pStyle w:val="ListParagraph"/>
        <w:ind w:left="1440"/>
        <w:rPr>
          <w:rFonts w:ascii="Tw Cen MT" w:hAnsi="Tw Cen MT"/>
          <w:bCs/>
          <w:iCs/>
        </w:rPr>
      </w:pPr>
      <w:r w:rsidRPr="0075645E">
        <w:rPr>
          <w:rFonts w:ascii="Tw Cen MT" w:hAnsi="Tw Cen MT"/>
          <w:bCs/>
          <w:iCs/>
        </w:rPr>
        <w:t>This was not clarified</w:t>
      </w:r>
      <w:r>
        <w:rPr>
          <w:rFonts w:ascii="Tw Cen MT" w:hAnsi="Tw Cen MT"/>
          <w:bCs/>
          <w:iCs/>
        </w:rPr>
        <w:t xml:space="preserve"> through the response directly, but it is implied through the answer about curriculum development.</w:t>
      </w:r>
    </w:p>
    <w:p w14:paraId="110A2099" w14:textId="77777777" w:rsidR="00A823A7" w:rsidRDefault="00A823A7" w:rsidP="008D7054">
      <w:pPr>
        <w:pStyle w:val="ListParagraph"/>
        <w:ind w:left="1440"/>
        <w:rPr>
          <w:rFonts w:ascii="Tw Cen MT" w:hAnsi="Tw Cen MT"/>
          <w:b/>
          <w:iCs/>
        </w:rPr>
      </w:pPr>
    </w:p>
    <w:p w14:paraId="6AD7559C" w14:textId="315204BE" w:rsidR="003632A8" w:rsidRPr="00935453" w:rsidRDefault="003632A8" w:rsidP="003632A8">
      <w:pPr>
        <w:pStyle w:val="ListParagraph"/>
        <w:numPr>
          <w:ilvl w:val="0"/>
          <w:numId w:val="1"/>
        </w:numPr>
        <w:rPr>
          <w:rFonts w:ascii="Tw Cen MT" w:hAnsi="Tw Cen MT"/>
          <w:b/>
        </w:rPr>
      </w:pPr>
      <w:r>
        <w:rPr>
          <w:rFonts w:ascii="Tw Cen MT" w:hAnsi="Tw Cen MT"/>
          <w:b/>
          <w:iCs/>
        </w:rPr>
        <w:t>Provide</w:t>
      </w:r>
      <w:r w:rsidRPr="00A67FCC">
        <w:rPr>
          <w:rFonts w:ascii="Tw Cen MT" w:hAnsi="Tw Cen MT"/>
          <w:b/>
          <w:iCs/>
        </w:rPr>
        <w:t xml:space="preserve"> the library budget and </w:t>
      </w:r>
      <w:r>
        <w:rPr>
          <w:rFonts w:ascii="Tw Cen MT" w:hAnsi="Tw Cen MT"/>
          <w:b/>
          <w:iCs/>
        </w:rPr>
        <w:t xml:space="preserve">details of </w:t>
      </w:r>
      <w:r w:rsidRPr="00A67FCC">
        <w:rPr>
          <w:rFonts w:ascii="Tw Cen MT" w:hAnsi="Tw Cen MT"/>
          <w:b/>
          <w:iCs/>
        </w:rPr>
        <w:t>information resources that will support the BSN program</w:t>
      </w:r>
      <w:r>
        <w:rPr>
          <w:rFonts w:ascii="Tw Cen MT" w:hAnsi="Tw Cen MT"/>
          <w:b/>
          <w:iCs/>
        </w:rPr>
        <w:t>.</w:t>
      </w:r>
    </w:p>
    <w:p w14:paraId="328CBCE6" w14:textId="5C378F28" w:rsidR="00935453" w:rsidRDefault="00935453" w:rsidP="00935453">
      <w:pPr>
        <w:pStyle w:val="ListParagraph"/>
        <w:rPr>
          <w:rFonts w:ascii="Tw Cen MT" w:hAnsi="Tw Cen MT"/>
          <w:b/>
          <w:iCs/>
        </w:rPr>
      </w:pPr>
    </w:p>
    <w:p w14:paraId="5A7BD5EF" w14:textId="400F5CAF" w:rsidR="00935453" w:rsidRDefault="00935453" w:rsidP="00935453">
      <w:pPr>
        <w:pStyle w:val="ListParagraph"/>
        <w:rPr>
          <w:rFonts w:ascii="Tw Cen MT" w:hAnsi="Tw Cen MT"/>
          <w:bCs/>
          <w:iCs/>
        </w:rPr>
      </w:pPr>
      <w:r>
        <w:rPr>
          <w:rFonts w:ascii="Tw Cen MT" w:hAnsi="Tw Cen MT"/>
          <w:bCs/>
          <w:iCs/>
        </w:rPr>
        <w:t xml:space="preserve">The </w:t>
      </w:r>
      <w:r w:rsidR="005D5459">
        <w:rPr>
          <w:rFonts w:ascii="Tw Cen MT" w:hAnsi="Tw Cen MT"/>
          <w:bCs/>
          <w:iCs/>
        </w:rPr>
        <w:t>response</w:t>
      </w:r>
      <w:r>
        <w:rPr>
          <w:rFonts w:ascii="Tw Cen MT" w:hAnsi="Tw Cen MT"/>
          <w:bCs/>
          <w:iCs/>
        </w:rPr>
        <w:t xml:space="preserve"> is satisfactory.</w:t>
      </w:r>
    </w:p>
    <w:p w14:paraId="35CF990C" w14:textId="77777777" w:rsidR="00935453" w:rsidRPr="00A67FCC" w:rsidRDefault="00935453" w:rsidP="00935453">
      <w:pPr>
        <w:pStyle w:val="ListParagraph"/>
        <w:rPr>
          <w:rFonts w:ascii="Tw Cen MT" w:hAnsi="Tw Cen MT"/>
          <w:b/>
        </w:rPr>
      </w:pPr>
    </w:p>
    <w:p w14:paraId="4E825446" w14:textId="77777777" w:rsidR="00935453" w:rsidRPr="00935453" w:rsidRDefault="003632A8" w:rsidP="003632A8">
      <w:pPr>
        <w:pStyle w:val="ListParagraph"/>
        <w:numPr>
          <w:ilvl w:val="0"/>
          <w:numId w:val="1"/>
        </w:numPr>
        <w:rPr>
          <w:rFonts w:ascii="Tw Cen MT" w:hAnsi="Tw Cen MT"/>
          <w:b/>
          <w:iCs/>
        </w:rPr>
      </w:pPr>
      <w:r>
        <w:rPr>
          <w:rFonts w:ascii="Tw Cen MT" w:hAnsi="Tw Cen MT"/>
          <w:b/>
        </w:rPr>
        <w:t>Detail the Tutoring and Graduate Placement services offered, including what the services encompass, who provides the services, and how they are accessed by students.</w:t>
      </w:r>
    </w:p>
    <w:p w14:paraId="70F94190" w14:textId="77777777" w:rsidR="00935453" w:rsidRPr="00935453" w:rsidRDefault="00935453" w:rsidP="00935453">
      <w:pPr>
        <w:pStyle w:val="ListParagraph"/>
        <w:rPr>
          <w:rFonts w:ascii="Tw Cen MT" w:hAnsi="Tw Cen MT"/>
          <w:b/>
          <w:iCs/>
        </w:rPr>
      </w:pPr>
    </w:p>
    <w:p w14:paraId="57F49993" w14:textId="517B37B2" w:rsidR="00935453" w:rsidRDefault="0075645E" w:rsidP="00935453">
      <w:pPr>
        <w:pStyle w:val="ListParagraph"/>
        <w:rPr>
          <w:rFonts w:ascii="Tw Cen MT" w:hAnsi="Tw Cen MT"/>
          <w:b/>
          <w:iCs/>
        </w:rPr>
      </w:pPr>
      <w:r>
        <w:rPr>
          <w:rFonts w:ascii="Tw Cen MT" w:hAnsi="Tw Cen MT"/>
          <w:bCs/>
          <w:iCs/>
        </w:rPr>
        <w:t xml:space="preserve">The </w:t>
      </w:r>
      <w:r>
        <w:rPr>
          <w:rFonts w:ascii="Tw Cen MT" w:hAnsi="Tw Cen MT"/>
          <w:bCs/>
          <w:iCs/>
        </w:rPr>
        <w:t>response is satisfactory</w:t>
      </w:r>
      <w:r w:rsidRPr="0075645E">
        <w:rPr>
          <w:rFonts w:ascii="Tw Cen MT" w:hAnsi="Tw Cen MT"/>
          <w:bCs/>
          <w:iCs/>
        </w:rPr>
        <w:t>, though t</w:t>
      </w:r>
      <w:r w:rsidR="00935453" w:rsidRPr="0075645E">
        <w:rPr>
          <w:rFonts w:ascii="Tw Cen MT" w:hAnsi="Tw Cen MT"/>
          <w:bCs/>
          <w:iCs/>
        </w:rPr>
        <w:t>h</w:t>
      </w:r>
      <w:r w:rsidR="00935453" w:rsidRPr="0075645E">
        <w:rPr>
          <w:rFonts w:ascii="Tw Cen MT" w:hAnsi="Tw Cen MT"/>
          <w:bCs/>
          <w:iCs/>
        </w:rPr>
        <w:t>e implication is that the faculty provide all tutoring services</w:t>
      </w:r>
      <w:r w:rsidRPr="0075645E">
        <w:rPr>
          <w:rFonts w:ascii="Tw Cen MT" w:hAnsi="Tw Cen MT"/>
          <w:bCs/>
          <w:iCs/>
        </w:rPr>
        <w:t>, and i</w:t>
      </w:r>
      <w:r w:rsidR="00935453" w:rsidRPr="0075645E">
        <w:rPr>
          <w:rFonts w:ascii="Tw Cen MT" w:hAnsi="Tw Cen MT"/>
          <w:bCs/>
          <w:iCs/>
        </w:rPr>
        <w:t xml:space="preserve">t is unclear whether the 28-32 direct student contact hours is exclusive of tutoring. </w:t>
      </w:r>
    </w:p>
    <w:p w14:paraId="717BFF6C" w14:textId="77777777" w:rsidR="00935453" w:rsidRPr="00935453" w:rsidRDefault="00935453" w:rsidP="00935453">
      <w:pPr>
        <w:rPr>
          <w:rFonts w:ascii="Tw Cen MT" w:hAnsi="Tw Cen MT"/>
          <w:b/>
          <w:iCs/>
        </w:rPr>
      </w:pPr>
    </w:p>
    <w:p w14:paraId="25BCFD05" w14:textId="32CE4DE5" w:rsidR="003632A8" w:rsidRDefault="003632A8" w:rsidP="003632A8">
      <w:pPr>
        <w:pStyle w:val="ListParagraph"/>
        <w:numPr>
          <w:ilvl w:val="0"/>
          <w:numId w:val="1"/>
        </w:numPr>
        <w:rPr>
          <w:rFonts w:ascii="Tw Cen MT" w:hAnsi="Tw Cen MT"/>
          <w:b/>
          <w:iCs/>
        </w:rPr>
      </w:pPr>
      <w:r w:rsidRPr="008C7C74">
        <w:rPr>
          <w:rFonts w:ascii="Tw Cen MT" w:hAnsi="Tw Cen MT"/>
          <w:b/>
          <w:iCs/>
        </w:rPr>
        <w:t>Describe Advisory Committees, including their role in program development and evaluation, frequency of meetings, and qualifications of members.</w:t>
      </w:r>
    </w:p>
    <w:p w14:paraId="0217643B" w14:textId="77777777" w:rsidR="00935453" w:rsidRDefault="00935453" w:rsidP="00935453">
      <w:pPr>
        <w:pStyle w:val="ListParagraph"/>
        <w:rPr>
          <w:rFonts w:ascii="Tw Cen MT" w:hAnsi="Tw Cen MT"/>
          <w:bCs/>
          <w:iCs/>
        </w:rPr>
      </w:pPr>
    </w:p>
    <w:p w14:paraId="60FBF707" w14:textId="21821223" w:rsidR="00935453" w:rsidRPr="00935453" w:rsidRDefault="00935453" w:rsidP="00935453">
      <w:pPr>
        <w:pStyle w:val="ListParagraph"/>
        <w:rPr>
          <w:rFonts w:ascii="Tw Cen MT" w:hAnsi="Tw Cen MT"/>
          <w:bCs/>
          <w:iCs/>
        </w:rPr>
      </w:pPr>
      <w:r>
        <w:rPr>
          <w:rFonts w:ascii="Tw Cen MT" w:hAnsi="Tw Cen MT"/>
          <w:bCs/>
          <w:iCs/>
        </w:rPr>
        <w:t>The response is satisfactory.</w:t>
      </w:r>
    </w:p>
    <w:p w14:paraId="73735EA9" w14:textId="2C035F26" w:rsidR="00935453" w:rsidRDefault="00935453" w:rsidP="00935453">
      <w:pPr>
        <w:pStyle w:val="ListParagraph"/>
        <w:rPr>
          <w:rFonts w:ascii="Tw Cen MT" w:hAnsi="Tw Cen MT"/>
          <w:b/>
          <w:iCs/>
        </w:rPr>
      </w:pPr>
    </w:p>
    <w:p w14:paraId="1866020F" w14:textId="77777777" w:rsidR="00935453" w:rsidRPr="008C7C74" w:rsidRDefault="00935453" w:rsidP="00935453">
      <w:pPr>
        <w:pStyle w:val="ListParagraph"/>
        <w:rPr>
          <w:rFonts w:ascii="Tw Cen MT" w:hAnsi="Tw Cen MT"/>
          <w:b/>
          <w:iCs/>
        </w:rPr>
      </w:pPr>
    </w:p>
    <w:p w14:paraId="170A9B51" w14:textId="48D727C0" w:rsidR="005D5459" w:rsidRPr="005D5459" w:rsidRDefault="003632A8" w:rsidP="005D5459">
      <w:pPr>
        <w:pStyle w:val="ListParagraph"/>
        <w:numPr>
          <w:ilvl w:val="0"/>
          <w:numId w:val="1"/>
        </w:numPr>
        <w:rPr>
          <w:rFonts w:ascii="Tw Cen MT" w:hAnsi="Tw Cen MT"/>
          <w:b/>
          <w:iCs/>
        </w:rPr>
      </w:pPr>
      <w:r>
        <w:rPr>
          <w:rFonts w:ascii="Tw Cen MT" w:hAnsi="Tw Cen MT"/>
          <w:b/>
          <w:iCs/>
        </w:rPr>
        <w:t xml:space="preserve">Clarify </w:t>
      </w:r>
      <w:r w:rsidRPr="00BE3279">
        <w:rPr>
          <w:rFonts w:ascii="Tw Cen MT" w:hAnsi="Tw Cen MT"/>
          <w:b/>
          <w:iCs/>
        </w:rPr>
        <w:t xml:space="preserve">whether it is possible be a part time student in the BSN </w:t>
      </w:r>
      <w:r>
        <w:rPr>
          <w:rFonts w:ascii="Tw Cen MT" w:hAnsi="Tw Cen MT"/>
          <w:b/>
          <w:iCs/>
        </w:rPr>
        <w:t>p</w:t>
      </w:r>
      <w:r w:rsidRPr="00BE3279">
        <w:rPr>
          <w:rFonts w:ascii="Tw Cen MT" w:hAnsi="Tw Cen MT"/>
          <w:b/>
          <w:iCs/>
        </w:rPr>
        <w:t>rogram.</w:t>
      </w:r>
    </w:p>
    <w:p w14:paraId="0CF52BC0" w14:textId="77777777" w:rsidR="005D5459" w:rsidRDefault="005D5459" w:rsidP="005D5459">
      <w:pPr>
        <w:pStyle w:val="ListParagraph"/>
        <w:rPr>
          <w:rFonts w:ascii="Tw Cen MT" w:hAnsi="Tw Cen MT"/>
          <w:bCs/>
          <w:iCs/>
        </w:rPr>
      </w:pPr>
    </w:p>
    <w:p w14:paraId="0D552916" w14:textId="1538C4DF" w:rsidR="005D5459" w:rsidRDefault="005D5459" w:rsidP="005D5459">
      <w:pPr>
        <w:pStyle w:val="ListParagraph"/>
        <w:rPr>
          <w:rFonts w:ascii="Tw Cen MT" w:hAnsi="Tw Cen MT"/>
          <w:b/>
          <w:iCs/>
        </w:rPr>
      </w:pPr>
      <w:r>
        <w:rPr>
          <w:rFonts w:ascii="Tw Cen MT" w:hAnsi="Tw Cen MT"/>
          <w:bCs/>
          <w:iCs/>
        </w:rPr>
        <w:t>The response is satisfactory.</w:t>
      </w:r>
      <w:r>
        <w:rPr>
          <w:rFonts w:ascii="Tw Cen MT" w:hAnsi="Tw Cen MT"/>
          <w:bCs/>
          <w:iCs/>
        </w:rPr>
        <w:t xml:space="preserve"> There is no part time option.</w:t>
      </w:r>
    </w:p>
    <w:p w14:paraId="49872E0D" w14:textId="77777777" w:rsidR="005D5459" w:rsidRPr="005D5459" w:rsidRDefault="005D5459" w:rsidP="005D5459">
      <w:pPr>
        <w:rPr>
          <w:rFonts w:ascii="Tw Cen MT" w:hAnsi="Tw Cen MT"/>
          <w:b/>
          <w:iCs/>
        </w:rPr>
      </w:pPr>
    </w:p>
    <w:p w14:paraId="011CBFBB" w14:textId="77777777" w:rsidR="005D5459" w:rsidRDefault="003632A8" w:rsidP="005D5459">
      <w:pPr>
        <w:pStyle w:val="ListParagraph"/>
        <w:numPr>
          <w:ilvl w:val="0"/>
          <w:numId w:val="1"/>
        </w:numPr>
        <w:rPr>
          <w:rFonts w:ascii="Tw Cen MT" w:hAnsi="Tw Cen MT"/>
          <w:b/>
          <w:iCs/>
        </w:rPr>
      </w:pPr>
      <w:r>
        <w:rPr>
          <w:rFonts w:ascii="Tw Cen MT" w:hAnsi="Tw Cen MT"/>
          <w:b/>
          <w:iCs/>
        </w:rPr>
        <w:t xml:space="preserve">Clarify </w:t>
      </w:r>
      <w:r w:rsidRPr="00BE3279">
        <w:rPr>
          <w:rFonts w:ascii="Tw Cen MT" w:hAnsi="Tw Cen MT"/>
          <w:b/>
          <w:iCs/>
        </w:rPr>
        <w:t xml:space="preserve">whether the BSN </w:t>
      </w:r>
      <w:r>
        <w:rPr>
          <w:rFonts w:ascii="Tw Cen MT" w:hAnsi="Tw Cen MT"/>
          <w:b/>
          <w:iCs/>
        </w:rPr>
        <w:t>p</w:t>
      </w:r>
      <w:r w:rsidRPr="00BE3279">
        <w:rPr>
          <w:rFonts w:ascii="Tw Cen MT" w:hAnsi="Tw Cen MT"/>
          <w:b/>
          <w:iCs/>
        </w:rPr>
        <w:t xml:space="preserve">rogram is in addition to or a replacement for the Practical Nursing </w:t>
      </w:r>
      <w:r>
        <w:rPr>
          <w:rFonts w:ascii="Tw Cen MT" w:hAnsi="Tw Cen MT"/>
          <w:b/>
          <w:iCs/>
        </w:rPr>
        <w:t>program</w:t>
      </w:r>
      <w:r w:rsidRPr="00BE3279">
        <w:rPr>
          <w:rFonts w:ascii="Tw Cen MT" w:hAnsi="Tw Cen MT"/>
          <w:b/>
          <w:iCs/>
        </w:rPr>
        <w:t>.</w:t>
      </w:r>
    </w:p>
    <w:p w14:paraId="46F40748" w14:textId="77777777" w:rsidR="005D5459" w:rsidRDefault="005D5459" w:rsidP="005D5459">
      <w:pPr>
        <w:pStyle w:val="ListParagraph"/>
        <w:rPr>
          <w:rFonts w:ascii="Tw Cen MT" w:hAnsi="Tw Cen MT"/>
          <w:bCs/>
          <w:iCs/>
        </w:rPr>
      </w:pPr>
    </w:p>
    <w:p w14:paraId="0A3EC69E" w14:textId="05A05077" w:rsidR="005D5459" w:rsidRPr="005D5459" w:rsidRDefault="005D5459" w:rsidP="005D5459">
      <w:pPr>
        <w:pStyle w:val="ListParagraph"/>
        <w:rPr>
          <w:rFonts w:ascii="Tw Cen MT" w:hAnsi="Tw Cen MT"/>
          <w:bCs/>
          <w:iCs/>
        </w:rPr>
      </w:pPr>
      <w:r>
        <w:rPr>
          <w:rFonts w:ascii="Tw Cen MT" w:hAnsi="Tw Cen MT"/>
          <w:bCs/>
          <w:iCs/>
        </w:rPr>
        <w:t>The response is satisfactory.</w:t>
      </w:r>
      <w:r>
        <w:rPr>
          <w:rFonts w:ascii="Tw Cen MT" w:hAnsi="Tw Cen MT"/>
          <w:bCs/>
          <w:iCs/>
        </w:rPr>
        <w:t xml:space="preserve"> The BSN is an additional program, not a replacement.</w:t>
      </w:r>
    </w:p>
    <w:p w14:paraId="5C9F73BB" w14:textId="255644B0" w:rsidR="003632A8" w:rsidRDefault="003632A8" w:rsidP="005D5459">
      <w:pPr>
        <w:pStyle w:val="ListParagraph"/>
        <w:rPr>
          <w:rFonts w:ascii="Tw Cen MT" w:hAnsi="Tw Cen MT"/>
          <w:b/>
          <w:iCs/>
        </w:rPr>
      </w:pPr>
    </w:p>
    <w:p w14:paraId="6C27B7A1" w14:textId="723B9EB3" w:rsidR="003632A8" w:rsidRDefault="003632A8" w:rsidP="003632A8">
      <w:pPr>
        <w:pStyle w:val="ListParagraph"/>
        <w:numPr>
          <w:ilvl w:val="0"/>
          <w:numId w:val="1"/>
        </w:numPr>
        <w:rPr>
          <w:rFonts w:ascii="Tw Cen MT" w:hAnsi="Tw Cen MT"/>
          <w:b/>
          <w:iCs/>
        </w:rPr>
      </w:pPr>
      <w:r w:rsidRPr="00BE3279">
        <w:rPr>
          <w:rFonts w:ascii="Tw Cen MT" w:hAnsi="Tw Cen MT"/>
          <w:b/>
          <w:iCs/>
        </w:rPr>
        <w:t>Clarify whether courses in the current Practical Nursing diploma program will apply toward the new degree requirements.</w:t>
      </w:r>
    </w:p>
    <w:p w14:paraId="74441F14" w14:textId="74692B63" w:rsidR="005D5459" w:rsidRDefault="005D5459" w:rsidP="005D5459">
      <w:pPr>
        <w:pStyle w:val="ListParagraph"/>
        <w:rPr>
          <w:rFonts w:ascii="Tw Cen MT" w:hAnsi="Tw Cen MT"/>
          <w:b/>
          <w:iCs/>
        </w:rPr>
      </w:pPr>
    </w:p>
    <w:p w14:paraId="429A2B34" w14:textId="77777777" w:rsidR="005D5459" w:rsidRPr="005D5459" w:rsidRDefault="005D5459" w:rsidP="005D5459">
      <w:pPr>
        <w:pStyle w:val="ListParagraph"/>
        <w:rPr>
          <w:rFonts w:ascii="Tw Cen MT" w:hAnsi="Tw Cen MT"/>
          <w:iCs/>
        </w:rPr>
      </w:pPr>
      <w:r w:rsidRPr="005D5459">
        <w:rPr>
          <w:rFonts w:ascii="Tw Cen MT" w:hAnsi="Tw Cen MT"/>
          <w:iCs/>
        </w:rPr>
        <w:t>The response is satisfactory</w:t>
      </w:r>
      <w:r w:rsidRPr="005D5459">
        <w:rPr>
          <w:rFonts w:ascii="Tw Cen MT" w:hAnsi="Tw Cen MT"/>
          <w:iCs/>
        </w:rPr>
        <w:t>:</w:t>
      </w:r>
    </w:p>
    <w:p w14:paraId="58343D87" w14:textId="097E2C36" w:rsidR="0075645E" w:rsidRPr="00BC0191" w:rsidRDefault="00DA31D4" w:rsidP="00BC0191">
      <w:pPr>
        <w:pStyle w:val="ListParagraph"/>
        <w:rPr>
          <w:rFonts w:ascii="Tw Cen MT" w:hAnsi="Tw Cen MT"/>
          <w:i/>
        </w:rPr>
      </w:pPr>
      <w:r>
        <w:rPr>
          <w:rFonts w:ascii="Tw Cen MT" w:hAnsi="Tw Cen MT"/>
          <w:i/>
        </w:rPr>
        <w:t>“</w:t>
      </w:r>
      <w:proofErr w:type="gramStart"/>
      <w:r w:rsidR="005D5459" w:rsidRPr="005D5459">
        <w:rPr>
          <w:rFonts w:ascii="Tw Cen MT" w:hAnsi="Tw Cen MT"/>
          <w:i/>
        </w:rPr>
        <w:t>no</w:t>
      </w:r>
      <w:proofErr w:type="gramEnd"/>
      <w:r w:rsidR="005D5459" w:rsidRPr="005D5459">
        <w:rPr>
          <w:rFonts w:ascii="Tw Cen MT" w:hAnsi="Tw Cen MT"/>
          <w:i/>
        </w:rPr>
        <w:t xml:space="preserve"> transfer credit is available for a graduate of a Practical Nursing program to the BSN program</w:t>
      </w:r>
      <w:r w:rsidR="0075645E">
        <w:rPr>
          <w:rFonts w:ascii="Tw Cen MT" w:hAnsi="Tw Cen MT"/>
          <w:i/>
        </w:rPr>
        <w:t>.</w:t>
      </w:r>
      <w:r>
        <w:rPr>
          <w:rFonts w:ascii="Tw Cen MT" w:hAnsi="Tw Cen MT"/>
          <w:i/>
        </w:rPr>
        <w:t>”</w:t>
      </w:r>
    </w:p>
    <w:p w14:paraId="378A1342" w14:textId="77777777" w:rsidR="005D5459" w:rsidRPr="00CB3227" w:rsidRDefault="005D5459" w:rsidP="005D5459">
      <w:pPr>
        <w:pStyle w:val="ListParagraph"/>
        <w:rPr>
          <w:rFonts w:ascii="Tw Cen MT" w:hAnsi="Tw Cen MT"/>
          <w:b/>
          <w:iCs/>
        </w:rPr>
      </w:pPr>
    </w:p>
    <w:p w14:paraId="4ABC8E81" w14:textId="0B9710F3" w:rsidR="003632A8" w:rsidRDefault="003632A8" w:rsidP="003632A8">
      <w:pPr>
        <w:pStyle w:val="ListParagraph"/>
        <w:numPr>
          <w:ilvl w:val="0"/>
          <w:numId w:val="1"/>
        </w:numPr>
        <w:rPr>
          <w:rFonts w:ascii="Tw Cen MT" w:hAnsi="Tw Cen MT"/>
          <w:b/>
          <w:iCs/>
        </w:rPr>
      </w:pPr>
      <w:r>
        <w:rPr>
          <w:rFonts w:ascii="Tw Cen MT" w:hAnsi="Tw Cen MT"/>
          <w:b/>
          <w:iCs/>
        </w:rPr>
        <w:t>Provide</w:t>
      </w:r>
      <w:r w:rsidRPr="00BE3279">
        <w:rPr>
          <w:rFonts w:ascii="Tw Cen MT" w:hAnsi="Tw Cen MT"/>
          <w:b/>
          <w:iCs/>
        </w:rPr>
        <w:t xml:space="preserve"> General Education Learning Outcomes for the BSN </w:t>
      </w:r>
      <w:r>
        <w:rPr>
          <w:rFonts w:ascii="Tw Cen MT" w:hAnsi="Tw Cen MT"/>
          <w:b/>
          <w:iCs/>
        </w:rPr>
        <w:t>p</w:t>
      </w:r>
      <w:r w:rsidRPr="00BE3279">
        <w:rPr>
          <w:rFonts w:ascii="Tw Cen MT" w:hAnsi="Tw Cen MT"/>
          <w:b/>
          <w:iCs/>
        </w:rPr>
        <w:t>rogram.</w:t>
      </w:r>
    </w:p>
    <w:p w14:paraId="37EA9EA5" w14:textId="77777777" w:rsidR="005D5459" w:rsidRDefault="005D5459" w:rsidP="005D5459">
      <w:pPr>
        <w:pStyle w:val="ListParagraph"/>
        <w:rPr>
          <w:rFonts w:ascii="Tw Cen MT" w:hAnsi="Tw Cen MT"/>
          <w:bCs/>
          <w:iCs/>
        </w:rPr>
      </w:pPr>
    </w:p>
    <w:p w14:paraId="3D71DF5E" w14:textId="58FE896A" w:rsidR="005D5459" w:rsidRDefault="005D5459" w:rsidP="005D5459">
      <w:pPr>
        <w:pStyle w:val="ListParagraph"/>
        <w:rPr>
          <w:rFonts w:ascii="Tw Cen MT" w:hAnsi="Tw Cen MT"/>
          <w:bCs/>
          <w:iCs/>
        </w:rPr>
      </w:pPr>
      <w:r>
        <w:rPr>
          <w:rFonts w:ascii="Tw Cen MT" w:hAnsi="Tw Cen MT"/>
          <w:bCs/>
          <w:iCs/>
        </w:rPr>
        <w:t>The response is satisfactory.</w:t>
      </w:r>
    </w:p>
    <w:p w14:paraId="13FC8171" w14:textId="77777777" w:rsidR="005D5459" w:rsidRDefault="005D5459" w:rsidP="005D5459">
      <w:pPr>
        <w:pStyle w:val="ListParagraph"/>
        <w:rPr>
          <w:rFonts w:ascii="Tw Cen MT" w:hAnsi="Tw Cen MT"/>
          <w:b/>
          <w:iCs/>
        </w:rPr>
      </w:pPr>
    </w:p>
    <w:p w14:paraId="3EB3BDCF" w14:textId="3ED4F270" w:rsidR="003632A8" w:rsidRDefault="003632A8" w:rsidP="003632A8">
      <w:pPr>
        <w:pStyle w:val="ListParagraph"/>
        <w:numPr>
          <w:ilvl w:val="0"/>
          <w:numId w:val="1"/>
        </w:numPr>
        <w:rPr>
          <w:rFonts w:ascii="Tw Cen MT" w:hAnsi="Tw Cen MT"/>
          <w:b/>
          <w:iCs/>
        </w:rPr>
      </w:pPr>
      <w:r>
        <w:rPr>
          <w:rFonts w:ascii="Tw Cen MT" w:hAnsi="Tw Cen MT"/>
          <w:b/>
          <w:iCs/>
        </w:rPr>
        <w:t xml:space="preserve">Provide </w:t>
      </w:r>
      <w:r w:rsidRPr="00BE3279">
        <w:rPr>
          <w:rFonts w:ascii="Tw Cen MT" w:hAnsi="Tw Cen MT"/>
          <w:b/>
          <w:iCs/>
        </w:rPr>
        <w:t>Course Learning Outcomes</w:t>
      </w:r>
      <w:r>
        <w:rPr>
          <w:rFonts w:ascii="Tw Cen MT" w:hAnsi="Tw Cen MT"/>
          <w:b/>
          <w:iCs/>
        </w:rPr>
        <w:t xml:space="preserve"> for BSN program courses.</w:t>
      </w:r>
    </w:p>
    <w:p w14:paraId="0A658C01" w14:textId="77777777" w:rsidR="005D5459" w:rsidRPr="005D5459" w:rsidRDefault="005D5459" w:rsidP="005D5459">
      <w:pPr>
        <w:rPr>
          <w:rFonts w:ascii="Tw Cen MT" w:hAnsi="Tw Cen MT"/>
          <w:b/>
          <w:iCs/>
        </w:rPr>
      </w:pPr>
    </w:p>
    <w:p w14:paraId="5E890BD9" w14:textId="3C4CD836" w:rsidR="005D5459" w:rsidRDefault="005D5459" w:rsidP="005D5459">
      <w:pPr>
        <w:pStyle w:val="ListParagraph"/>
        <w:rPr>
          <w:rFonts w:ascii="Tw Cen MT" w:hAnsi="Tw Cen MT"/>
          <w:b/>
          <w:iCs/>
        </w:rPr>
      </w:pPr>
      <w:r>
        <w:rPr>
          <w:rFonts w:ascii="Tw Cen MT" w:hAnsi="Tw Cen MT"/>
          <w:bCs/>
          <w:iCs/>
        </w:rPr>
        <w:t>The response is satisfactory.</w:t>
      </w:r>
    </w:p>
    <w:p w14:paraId="4A987220" w14:textId="77777777" w:rsidR="005D5459" w:rsidRPr="005D5459" w:rsidRDefault="005D5459" w:rsidP="005D5459">
      <w:pPr>
        <w:pStyle w:val="ListParagraph"/>
        <w:rPr>
          <w:rFonts w:ascii="Tw Cen MT" w:hAnsi="Tw Cen MT"/>
          <w:b/>
          <w:iCs/>
        </w:rPr>
      </w:pPr>
    </w:p>
    <w:p w14:paraId="10858AF7" w14:textId="17C5E6B7" w:rsidR="003632A8" w:rsidRDefault="003632A8" w:rsidP="003632A8">
      <w:pPr>
        <w:pStyle w:val="ListParagraph"/>
        <w:numPr>
          <w:ilvl w:val="0"/>
          <w:numId w:val="1"/>
        </w:numPr>
        <w:rPr>
          <w:rFonts w:ascii="Tw Cen MT" w:hAnsi="Tw Cen MT"/>
          <w:b/>
          <w:iCs/>
        </w:rPr>
      </w:pPr>
      <w:r>
        <w:rPr>
          <w:rFonts w:ascii="Tw Cen MT" w:hAnsi="Tw Cen MT"/>
          <w:b/>
          <w:iCs/>
        </w:rPr>
        <w:t>Provide</w:t>
      </w:r>
      <w:r w:rsidRPr="00BE3279">
        <w:rPr>
          <w:rFonts w:ascii="Tw Cen MT" w:hAnsi="Tw Cen MT"/>
          <w:b/>
          <w:iCs/>
        </w:rPr>
        <w:t xml:space="preserve"> syllabuses </w:t>
      </w:r>
      <w:r>
        <w:rPr>
          <w:rFonts w:ascii="Tw Cen MT" w:hAnsi="Tw Cen MT"/>
          <w:b/>
          <w:iCs/>
        </w:rPr>
        <w:t>for BSN courses including General Education courses</w:t>
      </w:r>
      <w:r w:rsidRPr="00BE3279">
        <w:rPr>
          <w:rFonts w:ascii="Tw Cen MT" w:hAnsi="Tw Cen MT"/>
          <w:b/>
          <w:iCs/>
        </w:rPr>
        <w:t>.</w:t>
      </w:r>
    </w:p>
    <w:p w14:paraId="12C734F6" w14:textId="77777777" w:rsidR="005D5459" w:rsidRDefault="005D5459" w:rsidP="005D5459">
      <w:pPr>
        <w:pStyle w:val="ListParagraph"/>
        <w:rPr>
          <w:rFonts w:ascii="Tw Cen MT" w:hAnsi="Tw Cen MT"/>
          <w:bCs/>
          <w:iCs/>
        </w:rPr>
      </w:pPr>
    </w:p>
    <w:p w14:paraId="1E30BEAB" w14:textId="534B8201" w:rsidR="005D5459" w:rsidRDefault="005D5459" w:rsidP="005D5459">
      <w:pPr>
        <w:pStyle w:val="ListParagraph"/>
        <w:rPr>
          <w:rFonts w:ascii="Tw Cen MT" w:hAnsi="Tw Cen MT"/>
          <w:bCs/>
          <w:iCs/>
        </w:rPr>
      </w:pPr>
      <w:r>
        <w:rPr>
          <w:rFonts w:ascii="Tw Cen MT" w:hAnsi="Tw Cen MT"/>
          <w:bCs/>
          <w:iCs/>
        </w:rPr>
        <w:t>The response is satisfactory.</w:t>
      </w:r>
    </w:p>
    <w:p w14:paraId="3170E69A" w14:textId="77777777" w:rsidR="005D5459" w:rsidRDefault="005D5459" w:rsidP="005D5459">
      <w:pPr>
        <w:pStyle w:val="ListParagraph"/>
        <w:rPr>
          <w:rFonts w:ascii="Tw Cen MT" w:hAnsi="Tw Cen MT"/>
          <w:b/>
          <w:iCs/>
        </w:rPr>
      </w:pPr>
    </w:p>
    <w:p w14:paraId="6E30D442" w14:textId="7F47779D" w:rsidR="003632A8" w:rsidRDefault="003632A8" w:rsidP="003632A8">
      <w:pPr>
        <w:pStyle w:val="ListParagraph"/>
        <w:numPr>
          <w:ilvl w:val="0"/>
          <w:numId w:val="1"/>
        </w:numPr>
        <w:rPr>
          <w:rFonts w:ascii="Tw Cen MT" w:hAnsi="Tw Cen MT"/>
          <w:b/>
          <w:iCs/>
        </w:rPr>
      </w:pPr>
      <w:r>
        <w:rPr>
          <w:rFonts w:ascii="Tw Cen MT" w:hAnsi="Tw Cen MT"/>
          <w:b/>
          <w:iCs/>
        </w:rPr>
        <w:t>Provide</w:t>
      </w:r>
      <w:r w:rsidRPr="00BE3279">
        <w:rPr>
          <w:rFonts w:ascii="Tw Cen MT" w:hAnsi="Tw Cen MT"/>
          <w:b/>
          <w:iCs/>
        </w:rPr>
        <w:t xml:space="preserve"> student course assessment materials</w:t>
      </w:r>
      <w:r>
        <w:rPr>
          <w:rFonts w:ascii="Tw Cen MT" w:hAnsi="Tw Cen MT"/>
          <w:b/>
          <w:iCs/>
        </w:rPr>
        <w:t xml:space="preserve"> for the </w:t>
      </w:r>
      <w:proofErr w:type="gramStart"/>
      <w:r>
        <w:rPr>
          <w:rFonts w:ascii="Tw Cen MT" w:hAnsi="Tw Cen MT"/>
          <w:b/>
          <w:iCs/>
        </w:rPr>
        <w:t>BSN, or</w:t>
      </w:r>
      <w:proofErr w:type="gramEnd"/>
      <w:r>
        <w:rPr>
          <w:rFonts w:ascii="Tw Cen MT" w:hAnsi="Tw Cen MT"/>
          <w:b/>
          <w:iCs/>
        </w:rPr>
        <w:t xml:space="preserve"> describe the process by which such materials will be developed.</w:t>
      </w:r>
    </w:p>
    <w:p w14:paraId="73C4AF5A" w14:textId="5B88107F" w:rsidR="005D5459" w:rsidRDefault="005D5459" w:rsidP="005D5459">
      <w:pPr>
        <w:pStyle w:val="ListParagraph"/>
        <w:rPr>
          <w:rFonts w:ascii="Tw Cen MT" w:hAnsi="Tw Cen MT"/>
          <w:b/>
          <w:iCs/>
        </w:rPr>
      </w:pPr>
    </w:p>
    <w:p w14:paraId="0DEDBB45" w14:textId="50E1DEB3" w:rsidR="005D5459" w:rsidRDefault="005D5459" w:rsidP="005D5459">
      <w:pPr>
        <w:pStyle w:val="ListParagraph"/>
        <w:rPr>
          <w:rFonts w:ascii="Tw Cen MT" w:hAnsi="Tw Cen MT"/>
          <w:b/>
          <w:iCs/>
        </w:rPr>
      </w:pPr>
      <w:r>
        <w:rPr>
          <w:rFonts w:ascii="Tw Cen MT" w:hAnsi="Tw Cen MT"/>
          <w:bCs/>
          <w:iCs/>
        </w:rPr>
        <w:t>The response is satisfactory.</w:t>
      </w:r>
    </w:p>
    <w:p w14:paraId="577C269B" w14:textId="77777777" w:rsidR="005D5459" w:rsidRPr="00CB3227" w:rsidRDefault="005D5459" w:rsidP="005D5459">
      <w:pPr>
        <w:pStyle w:val="ListParagraph"/>
        <w:rPr>
          <w:rFonts w:ascii="Tw Cen MT" w:hAnsi="Tw Cen MT"/>
          <w:b/>
          <w:iCs/>
        </w:rPr>
      </w:pPr>
    </w:p>
    <w:p w14:paraId="624BE076" w14:textId="7C48189E" w:rsidR="003632A8" w:rsidRDefault="003632A8" w:rsidP="003632A8">
      <w:pPr>
        <w:pStyle w:val="ListParagraph"/>
        <w:numPr>
          <w:ilvl w:val="0"/>
          <w:numId w:val="1"/>
        </w:numPr>
        <w:rPr>
          <w:rFonts w:ascii="Tw Cen MT" w:hAnsi="Tw Cen MT"/>
          <w:b/>
          <w:iCs/>
        </w:rPr>
      </w:pPr>
      <w:r w:rsidRPr="00CB3227">
        <w:rPr>
          <w:rFonts w:ascii="Tw Cen MT" w:hAnsi="Tw Cen MT"/>
          <w:b/>
        </w:rPr>
        <w:t>Provide</w:t>
      </w:r>
      <w:r w:rsidRPr="00BE3279">
        <w:rPr>
          <w:rFonts w:ascii="Tw Cen MT" w:hAnsi="Tw Cen MT"/>
          <w:b/>
        </w:rPr>
        <w:t xml:space="preserve"> examples of the </w:t>
      </w:r>
      <w:r w:rsidRPr="00BE3279">
        <w:rPr>
          <w:rFonts w:ascii="Tw Cen MT" w:hAnsi="Tw Cen MT"/>
          <w:b/>
          <w:iCs/>
        </w:rPr>
        <w:t>measurement tools outlined in the Resource Assessment Matrix (graduate, employer, and end of course surveys; Advisory Board Review forms; faculty meetings or observations)</w:t>
      </w:r>
      <w:r w:rsidR="005D5459">
        <w:rPr>
          <w:rFonts w:ascii="Tw Cen MT" w:hAnsi="Tw Cen MT"/>
          <w:b/>
          <w:iCs/>
        </w:rPr>
        <w:t>.</w:t>
      </w:r>
    </w:p>
    <w:p w14:paraId="7B20DE45" w14:textId="77777777" w:rsidR="005D5459" w:rsidRDefault="005D5459" w:rsidP="005D5459">
      <w:pPr>
        <w:pStyle w:val="ListParagraph"/>
        <w:rPr>
          <w:rFonts w:ascii="Tw Cen MT" w:hAnsi="Tw Cen MT"/>
          <w:bCs/>
          <w:iCs/>
        </w:rPr>
      </w:pPr>
    </w:p>
    <w:p w14:paraId="0DAB8142" w14:textId="46C60DF8" w:rsidR="006F4691" w:rsidRDefault="005D5459" w:rsidP="006F4691">
      <w:pPr>
        <w:pStyle w:val="ListParagraph"/>
        <w:rPr>
          <w:rFonts w:ascii="Tw Cen MT" w:hAnsi="Tw Cen MT"/>
          <w:b/>
          <w:iCs/>
        </w:rPr>
      </w:pPr>
      <w:r>
        <w:rPr>
          <w:rFonts w:ascii="Tw Cen MT" w:hAnsi="Tw Cen MT"/>
          <w:bCs/>
          <w:iCs/>
        </w:rPr>
        <w:t>The response is satisfactory</w:t>
      </w:r>
      <w:r w:rsidR="006F4691">
        <w:rPr>
          <w:rFonts w:ascii="Tw Cen MT" w:hAnsi="Tw Cen MT"/>
          <w:bCs/>
          <w:iCs/>
        </w:rPr>
        <w:t>.</w:t>
      </w:r>
    </w:p>
    <w:p w14:paraId="419486BF" w14:textId="20AF630C" w:rsidR="005D5459" w:rsidRDefault="005D5459" w:rsidP="005D5459">
      <w:pPr>
        <w:rPr>
          <w:rFonts w:ascii="Tw Cen MT" w:hAnsi="Tw Cen MT"/>
          <w:b/>
          <w:iCs/>
        </w:rPr>
      </w:pPr>
    </w:p>
    <w:p w14:paraId="13EEEBB5" w14:textId="2F8D04FA" w:rsidR="003632A8" w:rsidRDefault="003632A8" w:rsidP="003632A8">
      <w:pPr>
        <w:pStyle w:val="ListParagraph"/>
        <w:numPr>
          <w:ilvl w:val="0"/>
          <w:numId w:val="1"/>
        </w:numPr>
        <w:rPr>
          <w:rFonts w:ascii="Tw Cen MT" w:hAnsi="Tw Cen MT"/>
          <w:b/>
        </w:rPr>
      </w:pPr>
      <w:r w:rsidRPr="003734F3">
        <w:rPr>
          <w:rFonts w:ascii="Tw Cen MT" w:hAnsi="Tw Cen MT"/>
          <w:b/>
        </w:rPr>
        <w:t xml:space="preserve">Explain the </w:t>
      </w:r>
      <w:r>
        <w:rPr>
          <w:rFonts w:ascii="Tw Cen MT" w:hAnsi="Tw Cen MT"/>
          <w:b/>
        </w:rPr>
        <w:t>rationale for the</w:t>
      </w:r>
      <w:r w:rsidRPr="003734F3">
        <w:rPr>
          <w:rFonts w:ascii="Tw Cen MT" w:hAnsi="Tw Cen MT"/>
          <w:b/>
        </w:rPr>
        <w:t xml:space="preserve"> anticipated </w:t>
      </w:r>
      <w:r>
        <w:rPr>
          <w:rFonts w:ascii="Tw Cen MT" w:hAnsi="Tw Cen MT"/>
          <w:b/>
        </w:rPr>
        <w:t xml:space="preserve">1.5% </w:t>
      </w:r>
      <w:r w:rsidRPr="003734F3">
        <w:rPr>
          <w:rFonts w:ascii="Tw Cen MT" w:hAnsi="Tw Cen MT"/>
          <w:b/>
        </w:rPr>
        <w:t>annual attrition rate</w:t>
      </w:r>
      <w:r>
        <w:rPr>
          <w:rFonts w:ascii="Tw Cen MT" w:hAnsi="Tw Cen MT"/>
          <w:b/>
        </w:rPr>
        <w:t>.</w:t>
      </w:r>
    </w:p>
    <w:p w14:paraId="5004ADF5" w14:textId="5E926040" w:rsidR="006F4691" w:rsidRDefault="006F4691" w:rsidP="006F4691">
      <w:pPr>
        <w:pStyle w:val="ListParagraph"/>
        <w:rPr>
          <w:rFonts w:ascii="Tw Cen MT" w:hAnsi="Tw Cen MT"/>
          <w:b/>
        </w:rPr>
      </w:pPr>
    </w:p>
    <w:p w14:paraId="3BE12D77" w14:textId="77777777" w:rsidR="006F4691" w:rsidRPr="006F4691" w:rsidRDefault="006F4691" w:rsidP="006F4691">
      <w:pPr>
        <w:pStyle w:val="ListParagraph"/>
        <w:rPr>
          <w:rFonts w:ascii="Tw Cen MT" w:hAnsi="Tw Cen MT"/>
          <w:iCs/>
        </w:rPr>
      </w:pPr>
      <w:r w:rsidRPr="006F4691">
        <w:rPr>
          <w:rFonts w:ascii="Tw Cen MT" w:hAnsi="Tw Cen MT"/>
          <w:iCs/>
        </w:rPr>
        <w:t>The response is satisfactory:</w:t>
      </w:r>
    </w:p>
    <w:p w14:paraId="396F9AC1" w14:textId="2A13FFF8" w:rsidR="003632A8" w:rsidRPr="00007D7D" w:rsidRDefault="00BC0191" w:rsidP="006F4691">
      <w:pPr>
        <w:pStyle w:val="ListParagraph"/>
        <w:rPr>
          <w:rFonts w:ascii="Tw Cen MT" w:hAnsi="Tw Cen MT"/>
          <w:b/>
          <w:bCs/>
          <w:iCs/>
        </w:rPr>
      </w:pPr>
      <w:r>
        <w:rPr>
          <w:rFonts w:ascii="Tw Cen MT" w:hAnsi="Tw Cen MT"/>
          <w:i/>
        </w:rPr>
        <w:t>“</w:t>
      </w:r>
      <w:r w:rsidR="006F4691" w:rsidRPr="006F4691">
        <w:rPr>
          <w:rFonts w:ascii="Tw Cen MT" w:hAnsi="Tw Cen MT"/>
          <w:i/>
        </w:rPr>
        <w:t>The 1.5% attrition rate referenced is a monthly rate, not an annual rate. ACCSC standards require a program of more than 24 months in length to meet a graduation rate benchmark of 40%. As the program will take approximately 33 months to complete, a 1.5% monthly attrition rate will yield a graduation rate of 50.5%. The program will strive to improve this rate, but budgets are built on tuition revenue generated with this monthly rate.</w:t>
      </w:r>
      <w:r>
        <w:rPr>
          <w:rFonts w:ascii="Tw Cen MT" w:hAnsi="Tw Cen MT"/>
          <w:i/>
        </w:rPr>
        <w:t>”</w:t>
      </w:r>
    </w:p>
    <w:p w14:paraId="0990B0D6" w14:textId="77777777" w:rsidR="003632A8" w:rsidRDefault="003632A8" w:rsidP="003632A8">
      <w:pPr>
        <w:rPr>
          <w:rFonts w:ascii="Tw Cen MT" w:hAnsi="Tw Cen MT"/>
          <w:b/>
          <w:i/>
        </w:rPr>
      </w:pPr>
    </w:p>
    <w:p w14:paraId="0EDCC99A" w14:textId="13EC6F29" w:rsidR="003632A8" w:rsidRPr="006F4691" w:rsidRDefault="006F4691" w:rsidP="003632A8">
      <w:pPr>
        <w:rPr>
          <w:rFonts w:ascii="Tw Cen MT" w:hAnsi="Tw Cen MT"/>
          <w:b/>
          <w:iCs/>
        </w:rPr>
      </w:pPr>
      <w:r>
        <w:rPr>
          <w:rFonts w:ascii="Tw Cen MT" w:hAnsi="Tw Cen MT"/>
          <w:b/>
          <w:iCs/>
        </w:rPr>
        <w:t>Concluding Remarks</w:t>
      </w:r>
    </w:p>
    <w:p w14:paraId="472ED3D7" w14:textId="7E638068" w:rsidR="003632A8" w:rsidRDefault="003632A8" w:rsidP="003632A8">
      <w:pPr>
        <w:rPr>
          <w:rFonts w:ascii="Tw Cen MT" w:hAnsi="Tw Cen MT"/>
          <w:b/>
          <w:iCs/>
        </w:rPr>
      </w:pPr>
    </w:p>
    <w:p w14:paraId="6CB1D636" w14:textId="745249F7" w:rsidR="006F4691" w:rsidRDefault="006F4691" w:rsidP="006F4691">
      <w:pPr>
        <w:rPr>
          <w:rFonts w:ascii="Tw Cen MT" w:hAnsi="Tw Cen MT"/>
          <w:bCs/>
        </w:rPr>
      </w:pPr>
      <w:r w:rsidRPr="006F4691">
        <w:rPr>
          <w:rFonts w:ascii="Tw Cen MT" w:hAnsi="Tw Cen MT"/>
          <w:bCs/>
        </w:rPr>
        <w:t xml:space="preserve">Overall, </w:t>
      </w:r>
      <w:r>
        <w:rPr>
          <w:rFonts w:ascii="Tw Cen MT" w:hAnsi="Tw Cen MT"/>
          <w:bCs/>
        </w:rPr>
        <w:t xml:space="preserve">Concorde Career </w:t>
      </w:r>
      <w:r w:rsidRPr="006F4691">
        <w:rPr>
          <w:rFonts w:ascii="Tw Cen MT" w:hAnsi="Tw Cen MT"/>
          <w:bCs/>
        </w:rPr>
        <w:t>College’s responses to our recommendations are satisfactory, and we support moving their application forward for the BSN program.</w:t>
      </w:r>
      <w:r>
        <w:rPr>
          <w:rFonts w:ascii="Tw Cen MT" w:hAnsi="Tw Cen MT"/>
          <w:bCs/>
        </w:rPr>
        <w:t xml:space="preserve"> </w:t>
      </w:r>
    </w:p>
    <w:p w14:paraId="4A420B32" w14:textId="77777777" w:rsidR="006F4691" w:rsidRPr="006F4691" w:rsidRDefault="006F4691" w:rsidP="003632A8">
      <w:pPr>
        <w:rPr>
          <w:rFonts w:ascii="Tw Cen MT" w:hAnsi="Tw Cen MT"/>
          <w:b/>
          <w:iCs/>
        </w:rPr>
      </w:pPr>
    </w:p>
    <w:p w14:paraId="6A81B01A" w14:textId="77777777" w:rsidR="003632A8" w:rsidRDefault="003632A8" w:rsidP="003632A8">
      <w:pPr>
        <w:pStyle w:val="NormalWeb"/>
        <w:shd w:val="clear" w:color="auto" w:fill="FFFFFF"/>
        <w:rPr>
          <w:rFonts w:ascii="Calibri" w:hAnsi="Calibri" w:cs="Calibri"/>
          <w:b/>
          <w:bCs/>
        </w:rPr>
      </w:pPr>
    </w:p>
    <w:p w14:paraId="0C4DBCDA" w14:textId="77777777" w:rsidR="003632A8" w:rsidRDefault="003632A8" w:rsidP="003632A8">
      <w:pPr>
        <w:pStyle w:val="NormalWeb"/>
        <w:shd w:val="clear" w:color="auto" w:fill="FFFFFF"/>
      </w:pPr>
      <w:r>
        <w:rPr>
          <w:rFonts w:ascii="Calibri" w:hAnsi="Calibri" w:cs="Calibri"/>
          <w:b/>
          <w:bCs/>
        </w:rPr>
        <w:t>Consultants</w:t>
      </w:r>
    </w:p>
    <w:p w14:paraId="195AAC98" w14:textId="425A1902" w:rsidR="003632A8" w:rsidRDefault="003632A8" w:rsidP="006F4691">
      <w:pPr>
        <w:pStyle w:val="NormalWeb"/>
        <w:shd w:val="clear" w:color="auto" w:fill="FFFFFF"/>
      </w:pPr>
      <w:r>
        <w:rPr>
          <w:rFonts w:ascii="Calibri" w:hAnsi="Calibri" w:cs="Calibri"/>
          <w:b/>
          <w:bCs/>
        </w:rPr>
        <w:t>Cathy Chudzinski, Ohio</w:t>
      </w:r>
      <w:r>
        <w:rPr>
          <w:rFonts w:ascii="Calibri" w:hAnsi="Calibri" w:cs="Calibri"/>
          <w:b/>
          <w:bCs/>
        </w:rPr>
        <w:br/>
        <w:t>Marc Gartler, Wisconsin</w:t>
      </w:r>
    </w:p>
    <w:sectPr w:rsidR="003632A8" w:rsidSect="00582425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64B9" w14:textId="77777777" w:rsidR="001B7DA2" w:rsidRDefault="00BC0191" w:rsidP="003351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9F0E16" w14:textId="77777777" w:rsidR="001B7DA2" w:rsidRDefault="00BC01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5255" w14:textId="77777777" w:rsidR="001B7DA2" w:rsidRDefault="00BC0191" w:rsidP="003351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3CFC6F7B" w14:textId="77777777" w:rsidR="001B7DA2" w:rsidRDefault="00BC0191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43F38"/>
    <w:multiLevelType w:val="multilevel"/>
    <w:tmpl w:val="029A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0B7C1A"/>
    <w:multiLevelType w:val="hybridMultilevel"/>
    <w:tmpl w:val="41DE5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129CF"/>
    <w:multiLevelType w:val="multilevel"/>
    <w:tmpl w:val="4E04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9B5F03"/>
    <w:multiLevelType w:val="hybridMultilevel"/>
    <w:tmpl w:val="2B06C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044F7"/>
    <w:multiLevelType w:val="multilevel"/>
    <w:tmpl w:val="F00C9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A8"/>
    <w:rsid w:val="0001320D"/>
    <w:rsid w:val="00262DC9"/>
    <w:rsid w:val="003632A8"/>
    <w:rsid w:val="00542245"/>
    <w:rsid w:val="005D5459"/>
    <w:rsid w:val="00600BD6"/>
    <w:rsid w:val="006F4691"/>
    <w:rsid w:val="00711DED"/>
    <w:rsid w:val="007426C4"/>
    <w:rsid w:val="0075645E"/>
    <w:rsid w:val="008D7054"/>
    <w:rsid w:val="00935453"/>
    <w:rsid w:val="00A823A7"/>
    <w:rsid w:val="00BC0191"/>
    <w:rsid w:val="00DA31D4"/>
    <w:rsid w:val="00DC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6D6426"/>
  <w15:chartTrackingRefBased/>
  <w15:docId w15:val="{DCBF318F-4A41-7A4B-A213-F863E7F8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691"/>
    <w:rPr>
      <w:rFonts w:ascii="Times New Roman" w:eastAsia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rsid w:val="003632A8"/>
    <w:pPr>
      <w:keepNext/>
      <w:outlineLvl w:val="7"/>
    </w:pPr>
    <w:rPr>
      <w:rFonts w:ascii="Bookman Old Style" w:hAnsi="Bookman Old Style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2A8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3632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32A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632A8"/>
  </w:style>
  <w:style w:type="paragraph" w:styleId="NormalWeb">
    <w:name w:val="Normal (Web)"/>
    <w:basedOn w:val="Normal"/>
    <w:uiPriority w:val="99"/>
    <w:unhideWhenUsed/>
    <w:rsid w:val="003632A8"/>
    <w:pPr>
      <w:spacing w:before="100" w:beforeAutospacing="1" w:after="100" w:afterAutospacing="1"/>
    </w:pPr>
  </w:style>
  <w:style w:type="character" w:customStyle="1" w:styleId="Heading8Char">
    <w:name w:val="Heading 8 Char"/>
    <w:basedOn w:val="DefaultParagraphFont"/>
    <w:link w:val="Heading8"/>
    <w:rsid w:val="003632A8"/>
    <w:rPr>
      <w:rFonts w:ascii="Bookman Old Style" w:eastAsia="Times New Roman" w:hAnsi="Bookman Old Style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9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5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Gartler</dc:creator>
  <cp:keywords/>
  <dc:description/>
  <cp:lastModifiedBy>Christine Gartler</cp:lastModifiedBy>
  <cp:revision>4</cp:revision>
  <dcterms:created xsi:type="dcterms:W3CDTF">2021-10-28T22:09:00Z</dcterms:created>
  <dcterms:modified xsi:type="dcterms:W3CDTF">2021-11-01T04:23:00Z</dcterms:modified>
</cp:coreProperties>
</file>