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7A84" w14:textId="77777777" w:rsidR="00210245" w:rsidRDefault="00210245"/>
    <w:p w14:paraId="6ADFC183" w14:textId="77777777" w:rsidR="00210245" w:rsidRDefault="00210245"/>
    <w:p w14:paraId="250FBB33" w14:textId="2AEDE948" w:rsidR="00210245" w:rsidRDefault="005F1B93">
      <w:pPr>
        <w:pStyle w:val="Heading2"/>
        <w:ind w:left="2160" w:hanging="2160"/>
        <w:jc w:val="left"/>
        <w:rPr>
          <w:rFonts w:ascii="Times New Roman" w:hAnsi="Times New Roman"/>
          <w:smallCaps/>
          <w:color w:val="0000FF"/>
        </w:rPr>
      </w:pPr>
      <w:bookmarkStart w:id="0" w:name="_heading=h.30j0zll" w:colFirst="0" w:colLast="0"/>
      <w:bookmarkEnd w:id="0"/>
      <w:r>
        <w:rPr>
          <w:rFonts w:ascii="Times New Roman" w:hAnsi="Times New Roman"/>
        </w:rPr>
        <w:t>TOPIC:</w:t>
      </w:r>
      <w:r>
        <w:rPr>
          <w:rFonts w:ascii="Times New Roman" w:hAnsi="Times New Roman"/>
        </w:rPr>
        <w:tab/>
      </w:r>
      <w:r w:rsidR="00A277A5">
        <w:rPr>
          <w:rFonts w:ascii="Times New Roman" w:hAnsi="Times New Roman"/>
          <w:b w:val="0"/>
          <w:color w:val="000000"/>
        </w:rPr>
        <w:t xml:space="preserve">UPDATE ON PROPOSED REVISIONS TO </w:t>
      </w:r>
      <w:r>
        <w:rPr>
          <w:rFonts w:ascii="Times New Roman" w:hAnsi="Times New Roman"/>
          <w:b w:val="0"/>
          <w:color w:val="000000"/>
        </w:rPr>
        <w:t xml:space="preserve">CCHE POLICY </w:t>
      </w:r>
      <w:r>
        <w:rPr>
          <w:rFonts w:ascii="Times New Roman" w:hAnsi="Times New Roman"/>
          <w:b w:val="0"/>
        </w:rPr>
        <w:t>SECTION</w:t>
      </w:r>
      <w:r>
        <w:rPr>
          <w:rFonts w:ascii="Times New Roman" w:hAnsi="Times New Roman"/>
          <w:b w:val="0"/>
          <w:color w:val="000000"/>
        </w:rPr>
        <w:t xml:space="preserve"> I, PART N (SERVICE AREA</w:t>
      </w:r>
      <w:r>
        <w:rPr>
          <w:rFonts w:ascii="Times New Roman" w:hAnsi="Times New Roman"/>
          <w:b w:val="0"/>
        </w:rPr>
        <w:t>S</w:t>
      </w:r>
      <w:r>
        <w:rPr>
          <w:rFonts w:ascii="Times New Roman" w:hAnsi="Times New Roman"/>
          <w:b w:val="0"/>
          <w:color w:val="000000"/>
        </w:rPr>
        <w:t>)</w:t>
      </w:r>
    </w:p>
    <w:p w14:paraId="678D49B3" w14:textId="77777777" w:rsidR="00210245" w:rsidRDefault="00210245">
      <w:pPr>
        <w:jc w:val="both"/>
        <w:rPr>
          <w:smallCaps/>
          <w:sz w:val="24"/>
        </w:rPr>
      </w:pPr>
    </w:p>
    <w:p w14:paraId="32513E61" w14:textId="77777777" w:rsidR="00210245" w:rsidRDefault="005F1B93">
      <w:pPr>
        <w:tabs>
          <w:tab w:val="left" w:pos="2160"/>
        </w:tabs>
        <w:ind w:left="2160" w:hanging="2160"/>
        <w:rPr>
          <w:i/>
          <w:color w:val="0000FF"/>
          <w:sz w:val="24"/>
        </w:rPr>
      </w:pPr>
      <w:r>
        <w:rPr>
          <w:b/>
          <w:sz w:val="24"/>
        </w:rPr>
        <w:t>PREPARED BY:</w:t>
      </w:r>
      <w:r>
        <w:rPr>
          <w:b/>
          <w:sz w:val="24"/>
        </w:rPr>
        <w:tab/>
      </w:r>
      <w:r>
        <w:rPr>
          <w:sz w:val="24"/>
        </w:rPr>
        <w:t>DR. KIM POAST, CHIEF STUDENT SUCCESS &amp; ACADEMIC AFFAIRS OFFICER</w:t>
      </w:r>
    </w:p>
    <w:p w14:paraId="71D2EDB8" w14:textId="77777777" w:rsidR="00210245" w:rsidRDefault="00210245">
      <w:pPr>
        <w:tabs>
          <w:tab w:val="right" w:pos="9360"/>
        </w:tabs>
        <w:jc w:val="both"/>
        <w:rPr>
          <w:b/>
          <w:sz w:val="24"/>
        </w:rPr>
      </w:pPr>
    </w:p>
    <w:p w14:paraId="43F6ADEB" w14:textId="77777777" w:rsidR="00210245" w:rsidRDefault="005F1B93">
      <w:pPr>
        <w:widowControl w:val="0"/>
        <w:numPr>
          <w:ilvl w:val="0"/>
          <w:numId w:val="6"/>
        </w:numPr>
        <w:ind w:left="0" w:firstLine="0"/>
        <w:jc w:val="both"/>
        <w:rPr>
          <w:b/>
          <w:sz w:val="24"/>
          <w:u w:val="single"/>
        </w:rPr>
      </w:pPr>
      <w:r>
        <w:rPr>
          <w:b/>
          <w:sz w:val="24"/>
          <w:u w:val="single"/>
        </w:rPr>
        <w:t>SUMMARY</w:t>
      </w:r>
    </w:p>
    <w:p w14:paraId="697AF6CC" w14:textId="77777777" w:rsidR="00210245" w:rsidRDefault="00210245">
      <w:pPr>
        <w:pBdr>
          <w:top w:val="nil"/>
          <w:left w:val="nil"/>
          <w:bottom w:val="nil"/>
          <w:right w:val="nil"/>
          <w:between w:val="nil"/>
        </w:pBdr>
        <w:rPr>
          <w:color w:val="000000"/>
          <w:sz w:val="24"/>
        </w:rPr>
      </w:pPr>
    </w:p>
    <w:p w14:paraId="2D5AD590" w14:textId="3559B8A8" w:rsidR="00210245" w:rsidRDefault="005F1B93">
      <w:pPr>
        <w:pBdr>
          <w:top w:val="nil"/>
          <w:left w:val="nil"/>
          <w:bottom w:val="nil"/>
          <w:right w:val="nil"/>
          <w:between w:val="nil"/>
        </w:pBdr>
        <w:rPr>
          <w:color w:val="000000"/>
          <w:sz w:val="24"/>
        </w:rPr>
      </w:pPr>
      <w:r>
        <w:rPr>
          <w:color w:val="000000"/>
          <w:sz w:val="24"/>
        </w:rPr>
        <w:t xml:space="preserve">This </w:t>
      </w:r>
      <w:r w:rsidR="00A277A5">
        <w:rPr>
          <w:color w:val="000000"/>
          <w:sz w:val="24"/>
        </w:rPr>
        <w:t>discussion</w:t>
      </w:r>
      <w:r>
        <w:rPr>
          <w:color w:val="000000"/>
          <w:sz w:val="24"/>
        </w:rPr>
        <w:t xml:space="preserve"> item concerns the </w:t>
      </w:r>
      <w:r w:rsidR="00CF1A98">
        <w:rPr>
          <w:color w:val="000000"/>
          <w:sz w:val="24"/>
        </w:rPr>
        <w:t xml:space="preserve">current progress toward the update of </w:t>
      </w:r>
      <w:r>
        <w:rPr>
          <w:color w:val="000000"/>
          <w:sz w:val="24"/>
        </w:rPr>
        <w:t>Commission Policy I, N: Service Areas of Colorado Public Institutions of Higher Education</w:t>
      </w:r>
      <w:r w:rsidR="0001443E">
        <w:rPr>
          <w:color w:val="000000"/>
          <w:sz w:val="24"/>
        </w:rPr>
        <w:t xml:space="preserve"> revisions</w:t>
      </w:r>
      <w:r>
        <w:rPr>
          <w:color w:val="000000"/>
          <w:sz w:val="24"/>
        </w:rPr>
        <w:t xml:space="preserve">, as recommended by the Student Success &amp; Workforce Revitalization </w:t>
      </w:r>
      <w:r>
        <w:rPr>
          <w:sz w:val="24"/>
        </w:rPr>
        <w:t>Task Force in its r</w:t>
      </w:r>
      <w:r>
        <w:rPr>
          <w:color w:val="000000"/>
          <w:sz w:val="24"/>
        </w:rPr>
        <w:t xml:space="preserve">eport published in </w:t>
      </w:r>
      <w:proofErr w:type="gramStart"/>
      <w:r>
        <w:rPr>
          <w:color w:val="000000"/>
          <w:sz w:val="24"/>
        </w:rPr>
        <w:t>December,</w:t>
      </w:r>
      <w:proofErr w:type="gramEnd"/>
      <w:r>
        <w:rPr>
          <w:color w:val="000000"/>
          <w:sz w:val="24"/>
        </w:rPr>
        <w:t xml:space="preserve"> 2021. </w:t>
      </w:r>
    </w:p>
    <w:p w14:paraId="10BFCCE8" w14:textId="77777777" w:rsidR="00210245" w:rsidRDefault="00210245">
      <w:pPr>
        <w:pBdr>
          <w:top w:val="nil"/>
          <w:left w:val="nil"/>
          <w:bottom w:val="nil"/>
          <w:right w:val="nil"/>
          <w:between w:val="nil"/>
        </w:pBdr>
        <w:jc w:val="both"/>
        <w:rPr>
          <w:color w:val="000000"/>
          <w:sz w:val="24"/>
        </w:rPr>
      </w:pPr>
    </w:p>
    <w:p w14:paraId="2924A0B9" w14:textId="77777777" w:rsidR="00210245" w:rsidRDefault="005F1B93">
      <w:pPr>
        <w:pStyle w:val="Heading2"/>
        <w:widowControl w:val="0"/>
        <w:numPr>
          <w:ilvl w:val="0"/>
          <w:numId w:val="6"/>
        </w:numPr>
        <w:tabs>
          <w:tab w:val="left" w:pos="-720"/>
          <w:tab w:val="left" w:pos="0"/>
        </w:tabs>
        <w:rPr>
          <w:rFonts w:ascii="Times New Roman" w:hAnsi="Times New Roman"/>
          <w:u w:val="single"/>
        </w:rPr>
      </w:pPr>
      <w:r>
        <w:rPr>
          <w:rFonts w:ascii="Times New Roman" w:hAnsi="Times New Roman"/>
          <w:u w:val="single"/>
        </w:rPr>
        <w:t>BACKGROUND</w:t>
      </w:r>
    </w:p>
    <w:p w14:paraId="7D3694C6" w14:textId="77777777" w:rsidR="00210245" w:rsidRDefault="00210245">
      <w:pPr>
        <w:ind w:left="1080"/>
        <w:rPr>
          <w:sz w:val="24"/>
        </w:rPr>
      </w:pPr>
    </w:p>
    <w:p w14:paraId="31F65948" w14:textId="7EB2EB2E" w:rsidR="00210245" w:rsidRDefault="005B4B29">
      <w:pPr>
        <w:pBdr>
          <w:top w:val="nil"/>
          <w:left w:val="nil"/>
          <w:bottom w:val="nil"/>
          <w:right w:val="nil"/>
          <w:between w:val="nil"/>
        </w:pBdr>
        <w:rPr>
          <w:color w:val="000000"/>
          <w:sz w:val="24"/>
        </w:rPr>
      </w:pPr>
      <w:r>
        <w:rPr>
          <w:color w:val="000000"/>
          <w:sz w:val="24"/>
        </w:rPr>
        <w:t xml:space="preserve">Colorado Revised Statutes </w:t>
      </w:r>
      <w:r w:rsidR="005F1B93">
        <w:rPr>
          <w:color w:val="000000"/>
          <w:sz w:val="24"/>
        </w:rPr>
        <w:t xml:space="preserve">§23-1-109(2) requires the Colorado Commission on Higher Education to define, after consultation with the governing boards of institutions, the geographic and programmatic service areas for Colorado public institutions of higher education for providing off-campus instruction. </w:t>
      </w:r>
    </w:p>
    <w:p w14:paraId="52CBE19E" w14:textId="77777777" w:rsidR="00210245" w:rsidRDefault="00210245">
      <w:pPr>
        <w:pBdr>
          <w:top w:val="nil"/>
          <w:left w:val="nil"/>
          <w:bottom w:val="nil"/>
          <w:right w:val="nil"/>
          <w:between w:val="nil"/>
        </w:pBdr>
        <w:jc w:val="both"/>
        <w:rPr>
          <w:color w:val="000000"/>
          <w:sz w:val="24"/>
        </w:rPr>
      </w:pPr>
    </w:p>
    <w:p w14:paraId="729B48A8" w14:textId="77777777" w:rsidR="00210245" w:rsidRDefault="005F1B93">
      <w:pPr>
        <w:pBdr>
          <w:top w:val="nil"/>
          <w:left w:val="nil"/>
          <w:bottom w:val="nil"/>
          <w:right w:val="nil"/>
          <w:between w:val="nil"/>
        </w:pBdr>
        <w:rPr>
          <w:color w:val="000000"/>
          <w:sz w:val="24"/>
        </w:rPr>
      </w:pPr>
      <w:r>
        <w:rPr>
          <w:color w:val="000000"/>
          <w:sz w:val="24"/>
        </w:rPr>
        <w:t>The current service area policy</w:t>
      </w:r>
      <w:r>
        <w:rPr>
          <w:sz w:val="24"/>
        </w:rPr>
        <w:t xml:space="preserve"> </w:t>
      </w:r>
      <w:r>
        <w:rPr>
          <w:color w:val="000000"/>
          <w:sz w:val="24"/>
        </w:rPr>
        <w:t xml:space="preserve">provides precise narrative descriptions of the geographic service areas for all 13 </w:t>
      </w:r>
      <w:r>
        <w:rPr>
          <w:sz w:val="24"/>
        </w:rPr>
        <w:t xml:space="preserve">institutions in the Colorado Community College System, the two local district colleges (Aims Community College and Colorado Mountain College), the three area technical colleges, and the two </w:t>
      </w:r>
      <w:r>
        <w:rPr>
          <w:color w:val="000000"/>
          <w:sz w:val="24"/>
        </w:rPr>
        <w:t>public four-year universities with a two-year statutory role and mission (Adams State University and Colorado Mesa University)</w:t>
      </w:r>
      <w:r>
        <w:rPr>
          <w:sz w:val="24"/>
        </w:rPr>
        <w:t>.</w:t>
      </w:r>
      <w:r>
        <w:rPr>
          <w:color w:val="000000"/>
          <w:sz w:val="24"/>
        </w:rPr>
        <w:t xml:space="preserve"> For all institutions with a four-year statutory role and mission, the service area is the entire state of Colorado.</w:t>
      </w:r>
    </w:p>
    <w:p w14:paraId="4A3F4234" w14:textId="77777777" w:rsidR="00210245" w:rsidRDefault="00210245">
      <w:pPr>
        <w:pBdr>
          <w:top w:val="nil"/>
          <w:left w:val="nil"/>
          <w:bottom w:val="nil"/>
          <w:right w:val="nil"/>
          <w:between w:val="nil"/>
        </w:pBdr>
        <w:jc w:val="both"/>
        <w:rPr>
          <w:color w:val="000000"/>
          <w:sz w:val="24"/>
        </w:rPr>
      </w:pPr>
    </w:p>
    <w:p w14:paraId="77DB9164" w14:textId="1715CF3A" w:rsidR="00210245" w:rsidRDefault="005F1B93">
      <w:pPr>
        <w:pBdr>
          <w:top w:val="nil"/>
          <w:left w:val="nil"/>
          <w:bottom w:val="nil"/>
          <w:right w:val="nil"/>
          <w:between w:val="nil"/>
        </w:pBdr>
        <w:rPr>
          <w:color w:val="000000"/>
          <w:sz w:val="24"/>
        </w:rPr>
      </w:pPr>
      <w:r>
        <w:rPr>
          <w:color w:val="000000"/>
          <w:sz w:val="24"/>
        </w:rPr>
        <w:t>In 2021, HB 21-1330 directed the Commission to convene a task force to, in part</w:t>
      </w:r>
      <w:r w:rsidR="005B4B29">
        <w:rPr>
          <w:color w:val="000000"/>
          <w:sz w:val="24"/>
        </w:rPr>
        <w:t>,</w:t>
      </w:r>
      <w:r>
        <w:rPr>
          <w:color w:val="000000"/>
          <w:sz w:val="24"/>
        </w:rPr>
        <w:t xml:space="preserve"> </w:t>
      </w:r>
    </w:p>
    <w:p w14:paraId="4E016552" w14:textId="77777777" w:rsidR="005B4B29" w:rsidRDefault="005B4B29">
      <w:pPr>
        <w:pBdr>
          <w:top w:val="nil"/>
          <w:left w:val="nil"/>
          <w:bottom w:val="nil"/>
          <w:right w:val="nil"/>
          <w:between w:val="nil"/>
        </w:pBdr>
        <w:ind w:left="720"/>
        <w:rPr>
          <w:rFonts w:ascii="Times" w:eastAsia="Times" w:hAnsi="Times" w:cs="Times"/>
          <w:i/>
          <w:color w:val="000000"/>
          <w:sz w:val="26"/>
          <w:szCs w:val="26"/>
        </w:rPr>
      </w:pPr>
    </w:p>
    <w:p w14:paraId="3D6594A0" w14:textId="30F54FC1" w:rsidR="00210245" w:rsidRDefault="005F1B93">
      <w:pPr>
        <w:pBdr>
          <w:top w:val="nil"/>
          <w:left w:val="nil"/>
          <w:bottom w:val="nil"/>
          <w:right w:val="nil"/>
          <w:between w:val="nil"/>
        </w:pBdr>
        <w:ind w:left="720"/>
        <w:rPr>
          <w:rFonts w:ascii="Times" w:eastAsia="Times" w:hAnsi="Times" w:cs="Times"/>
          <w:i/>
          <w:color w:val="000000"/>
          <w:sz w:val="26"/>
          <w:szCs w:val="26"/>
        </w:rPr>
      </w:pPr>
      <w:r>
        <w:rPr>
          <w:rFonts w:ascii="Times" w:eastAsia="Times" w:hAnsi="Times" w:cs="Times"/>
          <w:i/>
          <w:color w:val="000000"/>
          <w:sz w:val="26"/>
          <w:szCs w:val="26"/>
        </w:rPr>
        <w:t xml:space="preserve">Review the role and mission and service area of each state institution of higher education, each local district college, and each area technical college, including all instruction offered by whatever means outside the geographic boundaries of a campus … to determine whether the availability of and access to postsecondary credential programs is sufficient throughout the state without undue overlap and to ensure the most efficient use of resources; </w:t>
      </w:r>
    </w:p>
    <w:p w14:paraId="0E8AA92A" w14:textId="3ABBA569" w:rsidR="00210245" w:rsidRPr="005B4B29" w:rsidRDefault="005F1B93">
      <w:pPr>
        <w:pBdr>
          <w:top w:val="nil"/>
          <w:left w:val="nil"/>
          <w:bottom w:val="nil"/>
          <w:right w:val="nil"/>
          <w:between w:val="nil"/>
        </w:pBdr>
        <w:rPr>
          <w:rFonts w:ascii="Times" w:eastAsia="Times" w:hAnsi="Times" w:cs="Times"/>
          <w:iCs/>
          <w:color w:val="000000"/>
          <w:sz w:val="26"/>
          <w:szCs w:val="26"/>
        </w:rPr>
      </w:pPr>
      <w:r w:rsidRPr="005B4B29">
        <w:rPr>
          <w:rFonts w:ascii="Times" w:eastAsia="Times" w:hAnsi="Times" w:cs="Times"/>
          <w:iCs/>
          <w:color w:val="000000"/>
          <w:sz w:val="26"/>
          <w:szCs w:val="26"/>
        </w:rPr>
        <w:t>And</w:t>
      </w:r>
    </w:p>
    <w:p w14:paraId="788862D5" w14:textId="77777777" w:rsidR="00210245" w:rsidRDefault="005F1B93">
      <w:pPr>
        <w:pBdr>
          <w:top w:val="nil"/>
          <w:left w:val="nil"/>
          <w:bottom w:val="nil"/>
          <w:right w:val="nil"/>
          <w:between w:val="nil"/>
        </w:pBdr>
        <w:ind w:left="720"/>
        <w:rPr>
          <w:rFonts w:ascii="Times" w:eastAsia="Times" w:hAnsi="Times" w:cs="Times"/>
          <w:i/>
          <w:color w:val="000000"/>
          <w:sz w:val="26"/>
          <w:szCs w:val="26"/>
        </w:rPr>
      </w:pPr>
      <w:r>
        <w:rPr>
          <w:rFonts w:ascii="Times" w:eastAsia="Times" w:hAnsi="Times" w:cs="Times"/>
          <w:i/>
          <w:color w:val="000000"/>
          <w:sz w:val="26"/>
          <w:szCs w:val="26"/>
        </w:rPr>
        <w:t xml:space="preserve">Review the history, purpose, effect, and continuing benefit of service areas and the commission’s policy concerning service areas, based on the degree to which service areas should continue and whether the service areas should be redrawn. </w:t>
      </w:r>
    </w:p>
    <w:p w14:paraId="47F93AA3" w14:textId="77777777" w:rsidR="005B4B29" w:rsidRDefault="005B4B29">
      <w:pPr>
        <w:pBdr>
          <w:top w:val="nil"/>
          <w:left w:val="nil"/>
          <w:bottom w:val="nil"/>
          <w:right w:val="nil"/>
          <w:between w:val="nil"/>
        </w:pBdr>
        <w:rPr>
          <w:color w:val="000000"/>
          <w:sz w:val="24"/>
        </w:rPr>
      </w:pPr>
    </w:p>
    <w:p w14:paraId="1483B0F3" w14:textId="6B521B96" w:rsidR="00210245" w:rsidRDefault="005F1B93">
      <w:pPr>
        <w:pBdr>
          <w:top w:val="nil"/>
          <w:left w:val="nil"/>
          <w:bottom w:val="nil"/>
          <w:right w:val="nil"/>
          <w:between w:val="nil"/>
        </w:pBdr>
        <w:rPr>
          <w:color w:val="000000"/>
          <w:sz w:val="24"/>
        </w:rPr>
      </w:pPr>
      <w:r>
        <w:rPr>
          <w:color w:val="000000"/>
          <w:sz w:val="24"/>
        </w:rPr>
        <w:lastRenderedPageBreak/>
        <w:t>The tas</w:t>
      </w:r>
      <w:r>
        <w:rPr>
          <w:sz w:val="24"/>
        </w:rPr>
        <w:t>k force</w:t>
      </w:r>
      <w:r>
        <w:rPr>
          <w:color w:val="000000"/>
          <w:sz w:val="24"/>
        </w:rPr>
        <w:t xml:space="preserve"> authorized by HB 21-1330 addressed service areas during its work and recommended that the CCHE “include the service area policy update in its 2022 agenda, with a commitment to convene stakeholders to further address the current service area policy and make recommendations for change by July 1, 2022.”</w:t>
      </w:r>
    </w:p>
    <w:p w14:paraId="1B280B95" w14:textId="77777777" w:rsidR="00210245" w:rsidRDefault="00210245">
      <w:pPr>
        <w:pBdr>
          <w:top w:val="nil"/>
          <w:left w:val="nil"/>
          <w:bottom w:val="nil"/>
          <w:right w:val="nil"/>
          <w:between w:val="nil"/>
        </w:pBdr>
        <w:jc w:val="both"/>
        <w:rPr>
          <w:color w:val="000000"/>
          <w:sz w:val="24"/>
        </w:rPr>
      </w:pPr>
    </w:p>
    <w:p w14:paraId="6A511A89" w14:textId="77777777" w:rsidR="00210245" w:rsidRDefault="005F1B93">
      <w:pPr>
        <w:widowControl w:val="0"/>
        <w:numPr>
          <w:ilvl w:val="0"/>
          <w:numId w:val="7"/>
        </w:numPr>
        <w:jc w:val="both"/>
        <w:rPr>
          <w:sz w:val="24"/>
          <w:u w:val="single"/>
        </w:rPr>
      </w:pPr>
      <w:r>
        <w:rPr>
          <w:b/>
          <w:sz w:val="24"/>
          <w:u w:val="single"/>
        </w:rPr>
        <w:t>STAFF ANALYSIS</w:t>
      </w:r>
      <w:r>
        <w:rPr>
          <w:sz w:val="24"/>
          <w:u w:val="single"/>
        </w:rPr>
        <w:t xml:space="preserve"> </w:t>
      </w:r>
    </w:p>
    <w:p w14:paraId="4473D794" w14:textId="77777777" w:rsidR="00210245" w:rsidRDefault="00210245">
      <w:pPr>
        <w:widowControl w:val="0"/>
        <w:jc w:val="both"/>
        <w:rPr>
          <w:sz w:val="24"/>
          <w:u w:val="single"/>
        </w:rPr>
      </w:pPr>
    </w:p>
    <w:p w14:paraId="19FEB27D" w14:textId="732A5733" w:rsidR="00F2340F" w:rsidRPr="005A1481" w:rsidRDefault="00F2340F">
      <w:pPr>
        <w:rPr>
          <w:sz w:val="24"/>
        </w:rPr>
      </w:pPr>
      <w:r w:rsidRPr="005A1481">
        <w:rPr>
          <w:sz w:val="24"/>
        </w:rPr>
        <w:t xml:space="preserve">Following is the consolidation of feedback from institutions of higher education during its stakeholder process. </w:t>
      </w:r>
      <w:r w:rsidR="00C678A7" w:rsidRPr="005A1481">
        <w:rPr>
          <w:sz w:val="24"/>
        </w:rPr>
        <w:t xml:space="preserve">Substantive changes appear in YELLOW in text of draft document, while minor changes appear in text tracking. </w:t>
      </w:r>
    </w:p>
    <w:p w14:paraId="60404EE9" w14:textId="77777777" w:rsidR="00F2340F" w:rsidRPr="005A1481" w:rsidRDefault="00F2340F">
      <w:pPr>
        <w:rPr>
          <w:sz w:val="24"/>
        </w:rPr>
      </w:pPr>
    </w:p>
    <w:p w14:paraId="70FF51E4" w14:textId="5F1025AA" w:rsidR="00F2340F" w:rsidRPr="005A1481" w:rsidRDefault="00276842" w:rsidP="00F2340F">
      <w:pPr>
        <w:pStyle w:val="ListParagraph"/>
        <w:numPr>
          <w:ilvl w:val="0"/>
          <w:numId w:val="8"/>
        </w:numPr>
        <w:rPr>
          <w:rFonts w:ascii="Times New Roman" w:hAnsi="Times New Roman"/>
          <w:sz w:val="24"/>
        </w:rPr>
      </w:pPr>
      <w:r w:rsidRPr="005A1481">
        <w:rPr>
          <w:rFonts w:ascii="Times New Roman" w:hAnsi="Times New Roman"/>
          <w:sz w:val="24"/>
        </w:rPr>
        <w:t xml:space="preserve">The Area Technical Colleges (Emily Griffith, Pickens and </w:t>
      </w:r>
      <w:r w:rsidR="005A1481" w:rsidRPr="005A1481">
        <w:rPr>
          <w:rFonts w:ascii="Times New Roman" w:hAnsi="Times New Roman"/>
          <w:sz w:val="24"/>
        </w:rPr>
        <w:t>Technical College of the Rock</w:t>
      </w:r>
      <w:r w:rsidR="005A1481">
        <w:rPr>
          <w:rFonts w:ascii="Times New Roman" w:hAnsi="Times New Roman"/>
          <w:sz w:val="24"/>
        </w:rPr>
        <w:t>i</w:t>
      </w:r>
      <w:r w:rsidR="005A1481" w:rsidRPr="005A1481">
        <w:rPr>
          <w:rFonts w:ascii="Times New Roman" w:hAnsi="Times New Roman"/>
          <w:sz w:val="24"/>
        </w:rPr>
        <w:t xml:space="preserve">es) and </w:t>
      </w:r>
      <w:r w:rsidR="00F2340F" w:rsidRPr="005A1481">
        <w:rPr>
          <w:rFonts w:ascii="Times New Roman" w:hAnsi="Times New Roman"/>
          <w:sz w:val="24"/>
        </w:rPr>
        <w:t>Colorado Mountain College</w:t>
      </w:r>
      <w:r w:rsidR="005A1481" w:rsidRPr="005A1481">
        <w:rPr>
          <w:rFonts w:ascii="Times New Roman" w:hAnsi="Times New Roman"/>
          <w:sz w:val="24"/>
        </w:rPr>
        <w:t xml:space="preserve"> submitted written</w:t>
      </w:r>
      <w:r w:rsidR="00F2340F" w:rsidRPr="005A1481">
        <w:rPr>
          <w:rFonts w:ascii="Times New Roman" w:hAnsi="Times New Roman"/>
          <w:sz w:val="24"/>
        </w:rPr>
        <w:t xml:space="preserve"> feedback to the Department (attached). </w:t>
      </w:r>
    </w:p>
    <w:p w14:paraId="3D7670AF" w14:textId="73025C03" w:rsidR="00276842" w:rsidRPr="005A1481" w:rsidRDefault="00C678A7" w:rsidP="00276842">
      <w:pPr>
        <w:pStyle w:val="ListParagraph"/>
        <w:numPr>
          <w:ilvl w:val="1"/>
          <w:numId w:val="8"/>
        </w:numPr>
        <w:rPr>
          <w:rFonts w:ascii="Times New Roman" w:hAnsi="Times New Roman"/>
          <w:sz w:val="24"/>
        </w:rPr>
      </w:pPr>
      <w:r w:rsidRPr="005A1481">
        <w:rPr>
          <w:rFonts w:ascii="Times New Roman" w:hAnsi="Times New Roman"/>
          <w:sz w:val="24"/>
        </w:rPr>
        <w:t>The Area Technic</w:t>
      </w:r>
      <w:bookmarkStart w:id="1" w:name="_GoBack"/>
      <w:bookmarkEnd w:id="1"/>
      <w:r w:rsidRPr="005A1481">
        <w:rPr>
          <w:rFonts w:ascii="Times New Roman" w:hAnsi="Times New Roman"/>
          <w:sz w:val="24"/>
        </w:rPr>
        <w:t xml:space="preserve">al Colleges noted funding potential unintended impacts of the current revision to include </w:t>
      </w:r>
      <w:r w:rsidR="00276842" w:rsidRPr="005A1481">
        <w:rPr>
          <w:rFonts w:ascii="Times New Roman" w:hAnsi="Times New Roman"/>
          <w:sz w:val="24"/>
        </w:rPr>
        <w:t xml:space="preserve">concerns over </w:t>
      </w:r>
      <w:r w:rsidRPr="005A1481">
        <w:rPr>
          <w:rFonts w:ascii="Times New Roman" w:hAnsi="Times New Roman"/>
          <w:sz w:val="24"/>
        </w:rPr>
        <w:t>funding structure</w:t>
      </w:r>
      <w:r w:rsidR="00276842" w:rsidRPr="005A1481">
        <w:rPr>
          <w:rFonts w:ascii="Times New Roman" w:hAnsi="Times New Roman"/>
          <w:sz w:val="24"/>
        </w:rPr>
        <w:t xml:space="preserve"> for programs and concurrent enrollment programs</w:t>
      </w:r>
      <w:r w:rsidRPr="005A1481">
        <w:rPr>
          <w:rFonts w:ascii="Times New Roman" w:hAnsi="Times New Roman"/>
          <w:sz w:val="24"/>
        </w:rPr>
        <w:t xml:space="preserve">, </w:t>
      </w:r>
      <w:r w:rsidR="00276842" w:rsidRPr="005A1481">
        <w:rPr>
          <w:rFonts w:ascii="Times New Roman" w:hAnsi="Times New Roman"/>
          <w:sz w:val="24"/>
        </w:rPr>
        <w:t xml:space="preserve">governing board focus of school boards and legislative scope of services/ educational programs. ATC’s </w:t>
      </w:r>
      <w:r w:rsidR="005A1481" w:rsidRPr="005A1481">
        <w:rPr>
          <w:rFonts w:ascii="Times New Roman" w:hAnsi="Times New Roman"/>
          <w:sz w:val="24"/>
        </w:rPr>
        <w:t>recommend</w:t>
      </w:r>
      <w:r w:rsidR="00276842" w:rsidRPr="005A1481">
        <w:rPr>
          <w:rFonts w:ascii="Times New Roman" w:hAnsi="Times New Roman"/>
          <w:sz w:val="24"/>
        </w:rPr>
        <w:t xml:space="preserve"> the inclusion of a right of first refusal and primary responsibility be included, </w:t>
      </w:r>
      <w:r w:rsidR="005A1481" w:rsidRPr="005A1481">
        <w:rPr>
          <w:rFonts w:ascii="Times New Roman" w:hAnsi="Times New Roman"/>
          <w:sz w:val="24"/>
        </w:rPr>
        <w:t>particularly</w:t>
      </w:r>
      <w:r w:rsidR="00276842" w:rsidRPr="005A1481">
        <w:rPr>
          <w:rFonts w:ascii="Times New Roman" w:hAnsi="Times New Roman"/>
          <w:sz w:val="24"/>
        </w:rPr>
        <w:t xml:space="preserve"> for CTE programming. </w:t>
      </w:r>
    </w:p>
    <w:p w14:paraId="37EC952E" w14:textId="775959BA" w:rsidR="00C678A7" w:rsidRPr="005A1481" w:rsidRDefault="00276842" w:rsidP="00276842">
      <w:pPr>
        <w:pStyle w:val="ListParagraph"/>
        <w:numPr>
          <w:ilvl w:val="1"/>
          <w:numId w:val="8"/>
        </w:numPr>
        <w:rPr>
          <w:rFonts w:ascii="Times New Roman" w:hAnsi="Times New Roman"/>
          <w:sz w:val="24"/>
        </w:rPr>
      </w:pPr>
      <w:r w:rsidRPr="005A1481">
        <w:rPr>
          <w:rFonts w:ascii="Times New Roman" w:hAnsi="Times New Roman"/>
          <w:sz w:val="24"/>
        </w:rPr>
        <w:t xml:space="preserve">Colorado Mountain College advocates for a statewide service area to be instituted for all public </w:t>
      </w:r>
      <w:r w:rsidR="005A1481" w:rsidRPr="005A1481">
        <w:rPr>
          <w:rFonts w:ascii="Times New Roman" w:hAnsi="Times New Roman"/>
          <w:sz w:val="24"/>
        </w:rPr>
        <w:t>institutions</w:t>
      </w:r>
      <w:r w:rsidRPr="005A1481">
        <w:rPr>
          <w:rFonts w:ascii="Times New Roman" w:hAnsi="Times New Roman"/>
          <w:sz w:val="24"/>
        </w:rPr>
        <w:t xml:space="preserve"> of higher education with a focus on defining </w:t>
      </w:r>
      <w:r w:rsidR="005A1481" w:rsidRPr="005A1481">
        <w:rPr>
          <w:rFonts w:ascii="Times New Roman" w:hAnsi="Times New Roman"/>
          <w:sz w:val="24"/>
        </w:rPr>
        <w:t>expectations</w:t>
      </w:r>
      <w:r w:rsidRPr="005A1481">
        <w:rPr>
          <w:rFonts w:ascii="Times New Roman" w:hAnsi="Times New Roman"/>
          <w:sz w:val="24"/>
        </w:rPr>
        <w:t xml:space="preserve"> for governing boards. Those expectations should include acknowledging the SBCCOE and its role for managing colleges within its system (and CTE programs), recognizing the </w:t>
      </w:r>
      <w:r w:rsidR="005A1481" w:rsidRPr="005A1481">
        <w:rPr>
          <w:rFonts w:ascii="Times New Roman" w:hAnsi="Times New Roman"/>
          <w:sz w:val="24"/>
        </w:rPr>
        <w:t>distinct</w:t>
      </w:r>
      <w:r w:rsidRPr="005A1481">
        <w:rPr>
          <w:rFonts w:ascii="Times New Roman" w:hAnsi="Times New Roman"/>
          <w:sz w:val="24"/>
        </w:rPr>
        <w:t xml:space="preserve"> political </w:t>
      </w:r>
      <w:r w:rsidR="005A1481" w:rsidRPr="005A1481">
        <w:rPr>
          <w:rFonts w:ascii="Times New Roman" w:hAnsi="Times New Roman"/>
          <w:sz w:val="24"/>
        </w:rPr>
        <w:t>boundaries</w:t>
      </w:r>
      <w:r w:rsidRPr="005A1481">
        <w:rPr>
          <w:rFonts w:ascii="Times New Roman" w:hAnsi="Times New Roman"/>
          <w:sz w:val="24"/>
        </w:rPr>
        <w:t xml:space="preserve"> established for local district colleges, establishing the primacy of physical locations, and elimination of ‘4-year’ vs. ‘2-year’ distinctions in policy. </w:t>
      </w:r>
    </w:p>
    <w:p w14:paraId="71161750" w14:textId="78224F39" w:rsidR="00F2340F" w:rsidRPr="005A1481" w:rsidRDefault="00F2340F" w:rsidP="00F2340F">
      <w:pPr>
        <w:pStyle w:val="ListParagraph"/>
        <w:numPr>
          <w:ilvl w:val="0"/>
          <w:numId w:val="8"/>
        </w:numPr>
        <w:rPr>
          <w:rFonts w:ascii="Times New Roman" w:hAnsi="Times New Roman"/>
          <w:sz w:val="24"/>
        </w:rPr>
      </w:pPr>
      <w:r w:rsidRPr="005A1481">
        <w:rPr>
          <w:rFonts w:ascii="Times New Roman" w:hAnsi="Times New Roman"/>
          <w:sz w:val="24"/>
        </w:rPr>
        <w:t xml:space="preserve">Several institutions have recommended that a Right of First Refusal &amp; Primary Responsibility clause be re-included in the policy (this feedback was submitted in writing by the ATC’s and in verbal form from Ft. Lewis College, Colorado Mesa University and Western Colorado University). </w:t>
      </w:r>
      <w:r w:rsidR="00C678A7" w:rsidRPr="005A1481">
        <w:rPr>
          <w:rFonts w:ascii="Times New Roman" w:hAnsi="Times New Roman"/>
          <w:sz w:val="24"/>
        </w:rPr>
        <w:t xml:space="preserve">That language appears in yellow in section 2.0. </w:t>
      </w:r>
    </w:p>
    <w:p w14:paraId="3029D3BA" w14:textId="2F61BA65" w:rsidR="006C1B73" w:rsidRPr="005A1481" w:rsidRDefault="00F2340F" w:rsidP="00F2340F">
      <w:pPr>
        <w:pStyle w:val="ListParagraph"/>
        <w:numPr>
          <w:ilvl w:val="0"/>
          <w:numId w:val="8"/>
        </w:numPr>
        <w:rPr>
          <w:rFonts w:ascii="Times New Roman" w:hAnsi="Times New Roman"/>
          <w:sz w:val="24"/>
        </w:rPr>
      </w:pPr>
      <w:r w:rsidRPr="005A1481">
        <w:rPr>
          <w:rFonts w:ascii="Times New Roman" w:hAnsi="Times New Roman"/>
          <w:sz w:val="24"/>
        </w:rPr>
        <w:t xml:space="preserve">CCCS has affirmed the process in the most recent draft that </w:t>
      </w:r>
      <w:r w:rsidR="006C1B73" w:rsidRPr="005A1481">
        <w:rPr>
          <w:rFonts w:ascii="Times New Roman" w:hAnsi="Times New Roman"/>
          <w:sz w:val="24"/>
        </w:rPr>
        <w:t>outlines the process for Perkins’ authorization/ USDOL funding eligibility for CTE programs</w:t>
      </w:r>
      <w:r w:rsidR="00C678A7" w:rsidRPr="005A1481">
        <w:rPr>
          <w:rFonts w:ascii="Times New Roman" w:hAnsi="Times New Roman"/>
          <w:sz w:val="24"/>
        </w:rPr>
        <w:t xml:space="preserve"> in section 3.01. </w:t>
      </w:r>
    </w:p>
    <w:p w14:paraId="0F54D364" w14:textId="1D5D9E39" w:rsidR="006C1B73" w:rsidRPr="005A1481" w:rsidRDefault="006C1B73" w:rsidP="006C1B73">
      <w:pPr>
        <w:pStyle w:val="ListParagraph"/>
        <w:numPr>
          <w:ilvl w:val="0"/>
          <w:numId w:val="8"/>
        </w:numPr>
        <w:rPr>
          <w:rFonts w:ascii="Times New Roman" w:hAnsi="Times New Roman"/>
          <w:b/>
          <w:sz w:val="24"/>
        </w:rPr>
      </w:pPr>
      <w:r w:rsidRPr="005A1481">
        <w:rPr>
          <w:rFonts w:ascii="Times New Roman" w:hAnsi="Times New Roman"/>
          <w:sz w:val="24"/>
        </w:rPr>
        <w:t>CU System requests that the statewide designation of ‘institutions with a 4-year role and mission’ be re-inserted into the policy draft.</w:t>
      </w:r>
      <w:r w:rsidR="00C678A7" w:rsidRPr="005A1481">
        <w:rPr>
          <w:rFonts w:ascii="Times New Roman" w:hAnsi="Times New Roman"/>
          <w:sz w:val="24"/>
        </w:rPr>
        <w:t xml:space="preserve"> That language appears in yellow in section 3.02. </w:t>
      </w:r>
    </w:p>
    <w:p w14:paraId="59F7CA90" w14:textId="58193160" w:rsidR="00210245" w:rsidRPr="005A1481" w:rsidRDefault="006C1B73" w:rsidP="006C1B73">
      <w:pPr>
        <w:pStyle w:val="ListParagraph"/>
        <w:numPr>
          <w:ilvl w:val="0"/>
          <w:numId w:val="8"/>
        </w:numPr>
        <w:rPr>
          <w:rFonts w:ascii="Times New Roman" w:hAnsi="Times New Roman"/>
          <w:b/>
          <w:sz w:val="24"/>
        </w:rPr>
      </w:pPr>
      <w:r w:rsidRPr="005A1481">
        <w:rPr>
          <w:rFonts w:ascii="Times New Roman" w:hAnsi="Times New Roman"/>
          <w:sz w:val="24"/>
        </w:rPr>
        <w:t xml:space="preserve">CMC requested that language be inserted to invite IHE’s to provide educational services prior assignment by the CCHE/CDHE. That language has been updated </w:t>
      </w:r>
      <w:r w:rsidR="00C678A7" w:rsidRPr="005A1481">
        <w:rPr>
          <w:rFonts w:ascii="Times New Roman" w:hAnsi="Times New Roman"/>
          <w:sz w:val="24"/>
        </w:rPr>
        <w:t xml:space="preserve">in yellow </w:t>
      </w:r>
      <w:r w:rsidRPr="005A1481">
        <w:rPr>
          <w:rFonts w:ascii="Times New Roman" w:hAnsi="Times New Roman"/>
          <w:sz w:val="24"/>
        </w:rPr>
        <w:t xml:space="preserve">in section </w:t>
      </w:r>
      <w:r w:rsidR="00C678A7" w:rsidRPr="005A1481">
        <w:rPr>
          <w:rFonts w:ascii="Times New Roman" w:hAnsi="Times New Roman"/>
          <w:sz w:val="24"/>
        </w:rPr>
        <w:t>3.03.</w:t>
      </w:r>
    </w:p>
    <w:p w14:paraId="0E589474" w14:textId="61A8A408" w:rsidR="006C1B73" w:rsidRPr="005A1481" w:rsidRDefault="006C1B73" w:rsidP="006C1B73">
      <w:pPr>
        <w:pStyle w:val="ListParagraph"/>
        <w:numPr>
          <w:ilvl w:val="0"/>
          <w:numId w:val="8"/>
        </w:numPr>
        <w:rPr>
          <w:rFonts w:ascii="Times New Roman" w:hAnsi="Times New Roman"/>
          <w:b/>
          <w:sz w:val="24"/>
        </w:rPr>
      </w:pPr>
      <w:r w:rsidRPr="005A1481">
        <w:rPr>
          <w:rFonts w:ascii="Times New Roman" w:hAnsi="Times New Roman"/>
          <w:sz w:val="24"/>
        </w:rPr>
        <w:lastRenderedPageBreak/>
        <w:t xml:space="preserve">CCHE members requested simplification of the concurrent enrollment language in section 5 (now renumbered to section 4). </w:t>
      </w:r>
    </w:p>
    <w:p w14:paraId="207EA9B5" w14:textId="77777777" w:rsidR="00210245" w:rsidRDefault="005F1B93">
      <w:pPr>
        <w:numPr>
          <w:ilvl w:val="0"/>
          <w:numId w:val="7"/>
        </w:numPr>
        <w:spacing w:after="200" w:line="276" w:lineRule="auto"/>
        <w:rPr>
          <w:b/>
          <w:sz w:val="24"/>
        </w:rPr>
      </w:pPr>
      <w:r>
        <w:rPr>
          <w:b/>
          <w:sz w:val="24"/>
          <w:u w:val="single"/>
        </w:rPr>
        <w:t>STAFF RECOMMENDATIONS</w:t>
      </w:r>
    </w:p>
    <w:p w14:paraId="36514F0E" w14:textId="3513B279" w:rsidR="005F1B93" w:rsidRDefault="005F1B93" w:rsidP="6600326D">
      <w:pPr>
        <w:rPr>
          <w:sz w:val="24"/>
        </w:rPr>
      </w:pPr>
      <w:r w:rsidRPr="6600326D">
        <w:rPr>
          <w:b/>
          <w:bCs/>
          <w:sz w:val="24"/>
        </w:rPr>
        <w:t xml:space="preserve">Discussion Item.  </w:t>
      </w:r>
      <w:r w:rsidR="005A1481">
        <w:rPr>
          <w:bCs/>
          <w:sz w:val="24"/>
        </w:rPr>
        <w:t xml:space="preserve">Updated edited version of policy attached for discussion, with feedback incorporated. </w:t>
      </w:r>
      <w:r w:rsidRPr="6600326D">
        <w:rPr>
          <w:sz w:val="24"/>
        </w:rPr>
        <w:t xml:space="preserve">It is expected that the CCHE will adopt final changes to the policy at its </w:t>
      </w:r>
      <w:proofErr w:type="gramStart"/>
      <w:r w:rsidRPr="6600326D">
        <w:rPr>
          <w:sz w:val="24"/>
        </w:rPr>
        <w:t>June,</w:t>
      </w:r>
      <w:proofErr w:type="gramEnd"/>
      <w:r w:rsidRPr="6600326D">
        <w:rPr>
          <w:sz w:val="24"/>
        </w:rPr>
        <w:t xml:space="preserve"> 2022 meeting. </w:t>
      </w:r>
    </w:p>
    <w:p w14:paraId="10AF8C54" w14:textId="7FCBF533" w:rsidR="005F1B93" w:rsidRDefault="005F1B93" w:rsidP="6600326D">
      <w:pPr>
        <w:ind w:left="90"/>
        <w:rPr>
          <w:color w:val="000000"/>
          <w:sz w:val="24"/>
        </w:rPr>
      </w:pPr>
    </w:p>
    <w:p w14:paraId="7A3542E9" w14:textId="77777777" w:rsidR="00210245" w:rsidRDefault="005F1B93">
      <w:pPr>
        <w:numPr>
          <w:ilvl w:val="0"/>
          <w:numId w:val="7"/>
        </w:numPr>
        <w:spacing w:after="200" w:line="276" w:lineRule="auto"/>
        <w:rPr>
          <w:b/>
          <w:sz w:val="24"/>
        </w:rPr>
      </w:pPr>
      <w:r>
        <w:rPr>
          <w:b/>
          <w:sz w:val="24"/>
          <w:u w:val="single"/>
        </w:rPr>
        <w:t>STATUTORY AUTHORITY</w:t>
      </w:r>
    </w:p>
    <w:p w14:paraId="6854E9A4" w14:textId="77777777" w:rsidR="00210245" w:rsidRDefault="005F1B93">
      <w:pPr>
        <w:pBdr>
          <w:top w:val="nil"/>
          <w:left w:val="nil"/>
          <w:bottom w:val="nil"/>
          <w:right w:val="nil"/>
          <w:between w:val="nil"/>
        </w:pBdr>
        <w:rPr>
          <w:b/>
          <w:color w:val="000000"/>
          <w:sz w:val="24"/>
        </w:rPr>
      </w:pPr>
      <w:bookmarkStart w:id="2" w:name="_heading=h.1fob9te" w:colFirst="0" w:colLast="0"/>
      <w:bookmarkEnd w:id="2"/>
      <w:r>
        <w:rPr>
          <w:b/>
          <w:color w:val="000000"/>
          <w:sz w:val="24"/>
        </w:rPr>
        <w:t>§23-1-109 -</w:t>
      </w:r>
      <w:r>
        <w:rPr>
          <w:color w:val="000000"/>
          <w:sz w:val="24"/>
        </w:rPr>
        <w:t xml:space="preserve"> </w:t>
      </w:r>
      <w:r>
        <w:rPr>
          <w:b/>
          <w:color w:val="000000"/>
          <w:sz w:val="24"/>
        </w:rPr>
        <w:t>Duties and powers of the commission with regard to off-campus instruction.</w:t>
      </w:r>
    </w:p>
    <w:p w14:paraId="1C94224E" w14:textId="77777777" w:rsidR="00210245" w:rsidRDefault="00210245">
      <w:pPr>
        <w:pBdr>
          <w:top w:val="nil"/>
          <w:left w:val="nil"/>
          <w:bottom w:val="nil"/>
          <w:right w:val="nil"/>
          <w:between w:val="nil"/>
        </w:pBdr>
        <w:rPr>
          <w:b/>
          <w:color w:val="000000"/>
          <w:sz w:val="24"/>
        </w:rPr>
      </w:pPr>
    </w:p>
    <w:p w14:paraId="79F4C91F" w14:textId="77777777" w:rsidR="00210245" w:rsidRDefault="005F1B93">
      <w:pPr>
        <w:pBdr>
          <w:top w:val="nil"/>
          <w:left w:val="nil"/>
          <w:bottom w:val="nil"/>
          <w:right w:val="nil"/>
          <w:between w:val="nil"/>
        </w:pBdr>
        <w:rPr>
          <w:color w:val="000000"/>
          <w:sz w:val="24"/>
        </w:rPr>
      </w:pPr>
      <w:r>
        <w:rPr>
          <w:color w:val="000000"/>
          <w:sz w:val="24"/>
        </w:rPr>
        <w:t>(1) The general assembly declares its intent that the state-supported institutions of higher education may engage in instruction off the geographic boundaries of their campuses.</w:t>
      </w:r>
    </w:p>
    <w:p w14:paraId="3ED4B2B5" w14:textId="77777777" w:rsidR="00210245" w:rsidRDefault="00210245">
      <w:pPr>
        <w:pBdr>
          <w:top w:val="nil"/>
          <w:left w:val="nil"/>
          <w:bottom w:val="nil"/>
          <w:right w:val="nil"/>
          <w:between w:val="nil"/>
        </w:pBdr>
        <w:rPr>
          <w:color w:val="000000"/>
          <w:sz w:val="24"/>
        </w:rPr>
      </w:pPr>
    </w:p>
    <w:p w14:paraId="00D89AC1" w14:textId="77777777" w:rsidR="00210245" w:rsidRDefault="005F1B93">
      <w:pPr>
        <w:pBdr>
          <w:top w:val="nil"/>
          <w:left w:val="nil"/>
          <w:bottom w:val="nil"/>
          <w:right w:val="nil"/>
          <w:between w:val="nil"/>
        </w:pBdr>
        <w:rPr>
          <w:color w:val="000000"/>
          <w:sz w:val="24"/>
        </w:rPr>
      </w:pPr>
      <w:r>
        <w:rPr>
          <w:color w:val="000000"/>
          <w:sz w:val="24"/>
        </w:rPr>
        <w:t>(2) The commission shall define, after consultation with the governing boards of institutions, the geographic and programmatic service areas for each state-supported institution of higher education. No such institution shall provide instruction off-campus in programs or in geographic areas or at sites not approved by the commission, unless otherwise provided by law.</w:t>
      </w:r>
    </w:p>
    <w:p w14:paraId="10B59F27" w14:textId="77777777" w:rsidR="00210245" w:rsidRDefault="00210245">
      <w:pPr>
        <w:pBdr>
          <w:top w:val="nil"/>
          <w:left w:val="nil"/>
          <w:bottom w:val="nil"/>
          <w:right w:val="nil"/>
          <w:between w:val="nil"/>
        </w:pBdr>
        <w:rPr>
          <w:color w:val="000000"/>
          <w:sz w:val="24"/>
        </w:rPr>
      </w:pPr>
    </w:p>
    <w:p w14:paraId="22A7681F" w14:textId="77777777" w:rsidR="00210245" w:rsidRDefault="005F1B93">
      <w:pPr>
        <w:pBdr>
          <w:top w:val="nil"/>
          <w:left w:val="nil"/>
          <w:bottom w:val="nil"/>
          <w:right w:val="nil"/>
          <w:between w:val="nil"/>
        </w:pBdr>
        <w:rPr>
          <w:b/>
          <w:color w:val="000000"/>
          <w:sz w:val="24"/>
        </w:rPr>
      </w:pPr>
      <w:r w:rsidRPr="5F8BBB52">
        <w:rPr>
          <w:b/>
          <w:bCs/>
          <w:color w:val="000000" w:themeColor="text1"/>
          <w:sz w:val="24"/>
        </w:rPr>
        <w:t>ATTACHMENTS:</w:t>
      </w:r>
    </w:p>
    <w:p w14:paraId="14266290" w14:textId="3DC5A50B" w:rsidR="005A1481" w:rsidRPr="005A1481" w:rsidRDefault="005A1481" w:rsidP="5F8BBB52">
      <w:pPr>
        <w:numPr>
          <w:ilvl w:val="0"/>
          <w:numId w:val="1"/>
        </w:numPr>
        <w:rPr>
          <w:b/>
          <w:bCs/>
          <w:i/>
          <w:iCs/>
          <w:color w:val="000000" w:themeColor="text1"/>
          <w:sz w:val="24"/>
        </w:rPr>
      </w:pPr>
      <w:r>
        <w:rPr>
          <w:color w:val="000000" w:themeColor="text1"/>
          <w:sz w:val="24"/>
        </w:rPr>
        <w:t>Letter to Commission/ CDHE from Colorado Mountain College</w:t>
      </w:r>
    </w:p>
    <w:p w14:paraId="3DC0A0F3" w14:textId="5A45024A" w:rsidR="005A1481" w:rsidRPr="005A1481" w:rsidRDefault="005A1481" w:rsidP="5F8BBB52">
      <w:pPr>
        <w:numPr>
          <w:ilvl w:val="0"/>
          <w:numId w:val="1"/>
        </w:numPr>
        <w:rPr>
          <w:b/>
          <w:bCs/>
          <w:i/>
          <w:iCs/>
          <w:color w:val="000000" w:themeColor="text1"/>
          <w:sz w:val="24"/>
        </w:rPr>
      </w:pPr>
      <w:r>
        <w:rPr>
          <w:color w:val="000000" w:themeColor="text1"/>
          <w:sz w:val="24"/>
        </w:rPr>
        <w:t>Letter to Commission/ CDHE from the Area Technical Colleges</w:t>
      </w:r>
    </w:p>
    <w:p w14:paraId="731CF337" w14:textId="374FC31D" w:rsidR="068E56F9" w:rsidRPr="005A1481" w:rsidRDefault="005A1481" w:rsidP="005A1481">
      <w:pPr>
        <w:numPr>
          <w:ilvl w:val="0"/>
          <w:numId w:val="1"/>
        </w:numPr>
        <w:rPr>
          <w:color w:val="000000" w:themeColor="text1"/>
          <w:sz w:val="24"/>
        </w:rPr>
      </w:pPr>
      <w:r>
        <w:rPr>
          <w:color w:val="000000" w:themeColor="text1"/>
          <w:sz w:val="24"/>
        </w:rPr>
        <w:t xml:space="preserve">Track changes revision to </w:t>
      </w:r>
      <w:r w:rsidR="068E56F9" w:rsidRPr="005A1481">
        <w:rPr>
          <w:color w:val="000000" w:themeColor="text1"/>
          <w:sz w:val="24"/>
        </w:rPr>
        <w:t>CCHE Policy I, N (</w:t>
      </w:r>
      <w:proofErr w:type="gramStart"/>
      <w:r>
        <w:rPr>
          <w:color w:val="000000" w:themeColor="text1"/>
          <w:sz w:val="24"/>
        </w:rPr>
        <w:t>May</w:t>
      </w:r>
      <w:r w:rsidR="068E56F9" w:rsidRPr="005A1481">
        <w:rPr>
          <w:color w:val="000000" w:themeColor="text1"/>
          <w:sz w:val="24"/>
        </w:rPr>
        <w:t>,</w:t>
      </w:r>
      <w:proofErr w:type="gramEnd"/>
      <w:r w:rsidR="068E56F9" w:rsidRPr="005A1481">
        <w:rPr>
          <w:color w:val="000000" w:themeColor="text1"/>
          <w:sz w:val="24"/>
        </w:rPr>
        <w:t xml:space="preserve"> 2022)</w:t>
      </w:r>
    </w:p>
    <w:p w14:paraId="6D99FC65" w14:textId="77777777" w:rsidR="00210245" w:rsidRDefault="00210245">
      <w:pPr>
        <w:pBdr>
          <w:top w:val="nil"/>
          <w:left w:val="nil"/>
          <w:bottom w:val="nil"/>
          <w:right w:val="nil"/>
          <w:between w:val="nil"/>
        </w:pBdr>
        <w:ind w:left="360"/>
        <w:jc w:val="both"/>
        <w:rPr>
          <w:b/>
          <w:i/>
          <w:color w:val="000000"/>
          <w:sz w:val="24"/>
        </w:rPr>
      </w:pPr>
    </w:p>
    <w:sectPr w:rsidR="00210245">
      <w:headerReference w:type="default" r:id="rId8"/>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A42FB" w14:textId="77777777" w:rsidR="006D5CE0" w:rsidRDefault="006D5CE0">
      <w:r>
        <w:separator/>
      </w:r>
    </w:p>
  </w:endnote>
  <w:endnote w:type="continuationSeparator" w:id="0">
    <w:p w14:paraId="420AAA07" w14:textId="77777777" w:rsidR="006D5CE0" w:rsidRDefault="006D5CE0">
      <w:r>
        <w:continuationSeparator/>
      </w:r>
    </w:p>
  </w:endnote>
  <w:endnote w:type="continuationNotice" w:id="1">
    <w:p w14:paraId="0E2DB4C9" w14:textId="77777777" w:rsidR="006D5CE0" w:rsidRDefault="006D5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G Time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600326D" w14:paraId="4C9B0F4D" w14:textId="77777777" w:rsidTr="6600326D">
      <w:tc>
        <w:tcPr>
          <w:tcW w:w="3120" w:type="dxa"/>
        </w:tcPr>
        <w:p w14:paraId="5830137F" w14:textId="25332963" w:rsidR="6600326D" w:rsidRDefault="6600326D" w:rsidP="6600326D">
          <w:pPr>
            <w:pStyle w:val="Header"/>
            <w:ind w:left="-115"/>
          </w:pPr>
        </w:p>
      </w:tc>
      <w:tc>
        <w:tcPr>
          <w:tcW w:w="3120" w:type="dxa"/>
        </w:tcPr>
        <w:p w14:paraId="66356F3B" w14:textId="2C890D28" w:rsidR="6600326D" w:rsidRDefault="6600326D" w:rsidP="6600326D">
          <w:pPr>
            <w:pStyle w:val="Header"/>
            <w:jc w:val="center"/>
          </w:pPr>
        </w:p>
      </w:tc>
      <w:tc>
        <w:tcPr>
          <w:tcW w:w="3120" w:type="dxa"/>
        </w:tcPr>
        <w:p w14:paraId="628A3AB1" w14:textId="4AFEF97E" w:rsidR="6600326D" w:rsidRDefault="6600326D" w:rsidP="6600326D">
          <w:pPr>
            <w:pStyle w:val="Header"/>
            <w:ind w:right="-115"/>
            <w:jc w:val="right"/>
          </w:pPr>
        </w:p>
      </w:tc>
    </w:tr>
  </w:tbl>
  <w:p w14:paraId="7E7B50B5" w14:textId="3B424221" w:rsidR="6600326D" w:rsidRDefault="6600326D" w:rsidP="66003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2827C" w14:textId="77777777" w:rsidR="006D5CE0" w:rsidRDefault="006D5CE0">
      <w:r>
        <w:separator/>
      </w:r>
    </w:p>
  </w:footnote>
  <w:footnote w:type="continuationSeparator" w:id="0">
    <w:p w14:paraId="0A1D959B" w14:textId="77777777" w:rsidR="006D5CE0" w:rsidRDefault="006D5CE0">
      <w:r>
        <w:continuationSeparator/>
      </w:r>
    </w:p>
  </w:footnote>
  <w:footnote w:type="continuationNotice" w:id="1">
    <w:p w14:paraId="3F0B8D6B" w14:textId="77777777" w:rsidR="006D5CE0" w:rsidRDefault="006D5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D4FA" w14:textId="77777777" w:rsidR="00210245" w:rsidRDefault="00210245">
    <w:pPr>
      <w:widowControl w:val="0"/>
      <w:pBdr>
        <w:top w:val="nil"/>
        <w:left w:val="nil"/>
        <w:bottom w:val="nil"/>
        <w:right w:val="nil"/>
        <w:between w:val="nil"/>
      </w:pBdr>
      <w:spacing w:line="276" w:lineRule="auto"/>
      <w:rPr>
        <w:b/>
        <w:i/>
        <w:color w:val="000000"/>
        <w:sz w:val="24"/>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6101"/>
      <w:gridCol w:w="3259"/>
    </w:tblGrid>
    <w:tr w:rsidR="00210245" w14:paraId="5412EAB1" w14:textId="77777777">
      <w:tc>
        <w:tcPr>
          <w:tcW w:w="6101" w:type="dxa"/>
        </w:tcPr>
        <w:p w14:paraId="5AA83A49" w14:textId="77777777" w:rsidR="00210245" w:rsidRDefault="005F1B93">
          <w:pPr>
            <w:pBdr>
              <w:top w:val="nil"/>
              <w:left w:val="nil"/>
              <w:bottom w:val="nil"/>
              <w:right w:val="nil"/>
              <w:between w:val="nil"/>
            </w:pBdr>
            <w:tabs>
              <w:tab w:val="center" w:pos="4320"/>
              <w:tab w:val="right" w:pos="8640"/>
              <w:tab w:val="right" w:pos="9360"/>
            </w:tabs>
            <w:rPr>
              <w:color w:val="000000"/>
              <w:sz w:val="24"/>
            </w:rPr>
          </w:pPr>
          <w:r>
            <w:rPr>
              <w:color w:val="000000"/>
              <w:sz w:val="24"/>
            </w:rPr>
            <w:t>Colorado Commission on Higher Education</w:t>
          </w:r>
          <w:r>
            <w:rPr>
              <w:color w:val="000000"/>
              <w:sz w:val="24"/>
            </w:rPr>
            <w:tab/>
            <w:t xml:space="preserve"> (CCHE)</w:t>
          </w:r>
        </w:p>
        <w:p w14:paraId="02D0D698" w14:textId="3A7E3045" w:rsidR="00210245" w:rsidRDefault="00F2340F">
          <w:pPr>
            <w:pBdr>
              <w:top w:val="nil"/>
              <w:left w:val="nil"/>
              <w:bottom w:val="nil"/>
              <w:right w:val="nil"/>
              <w:between w:val="nil"/>
            </w:pBdr>
            <w:tabs>
              <w:tab w:val="center" w:pos="4320"/>
              <w:tab w:val="right" w:pos="8640"/>
              <w:tab w:val="left" w:pos="4320"/>
            </w:tabs>
            <w:rPr>
              <w:color w:val="000000"/>
              <w:sz w:val="24"/>
            </w:rPr>
          </w:pPr>
          <w:r>
            <w:rPr>
              <w:color w:val="000000"/>
              <w:sz w:val="24"/>
            </w:rPr>
            <w:t>June 3</w:t>
          </w:r>
          <w:r w:rsidR="005F1B93">
            <w:rPr>
              <w:sz w:val="24"/>
            </w:rPr>
            <w:t>, 2022</w:t>
          </w:r>
          <w:r w:rsidR="005F1B93">
            <w:rPr>
              <w:color w:val="000000"/>
              <w:sz w:val="24"/>
            </w:rPr>
            <w:tab/>
          </w:r>
        </w:p>
      </w:tc>
      <w:tc>
        <w:tcPr>
          <w:tcW w:w="3259" w:type="dxa"/>
        </w:tcPr>
        <w:p w14:paraId="20C5310E" w14:textId="77777777" w:rsidR="00210245" w:rsidRDefault="005F1B93">
          <w:pPr>
            <w:pBdr>
              <w:top w:val="nil"/>
              <w:left w:val="nil"/>
              <w:bottom w:val="nil"/>
              <w:right w:val="nil"/>
              <w:between w:val="nil"/>
            </w:pBdr>
            <w:tabs>
              <w:tab w:val="center" w:pos="4320"/>
              <w:tab w:val="right" w:pos="8640"/>
              <w:tab w:val="right" w:pos="9360"/>
            </w:tabs>
            <w:jc w:val="right"/>
            <w:rPr>
              <w:color w:val="000000"/>
              <w:sz w:val="24"/>
            </w:rPr>
          </w:pPr>
          <w:r>
            <w:rPr>
              <w:color w:val="000000"/>
              <w:sz w:val="24"/>
            </w:rPr>
            <w:t xml:space="preserve">Agenda Item </w:t>
          </w:r>
          <w:r w:rsidRPr="00A277A5">
            <w:rPr>
              <w:sz w:val="24"/>
              <w:highlight w:val="yellow"/>
            </w:rPr>
            <w:t>VI</w:t>
          </w:r>
          <w:r w:rsidRPr="00A277A5">
            <w:rPr>
              <w:color w:val="000000"/>
              <w:sz w:val="24"/>
              <w:highlight w:val="yellow"/>
            </w:rPr>
            <w:t>, B</w:t>
          </w:r>
        </w:p>
        <w:p w14:paraId="47F7A388" w14:textId="77777777" w:rsidR="00210245" w:rsidRDefault="005F1B93">
          <w:pPr>
            <w:pBdr>
              <w:top w:val="nil"/>
              <w:left w:val="nil"/>
              <w:bottom w:val="nil"/>
              <w:right w:val="nil"/>
              <w:between w:val="nil"/>
            </w:pBdr>
            <w:tabs>
              <w:tab w:val="center" w:pos="4320"/>
              <w:tab w:val="right" w:pos="8640"/>
              <w:tab w:val="right" w:pos="9360"/>
            </w:tabs>
            <w:jc w:val="right"/>
            <w:rPr>
              <w:color w:val="000000"/>
              <w:sz w:val="24"/>
            </w:rPr>
          </w:pPr>
          <w:r>
            <w:rPr>
              <w:color w:val="000000"/>
              <w:sz w:val="24"/>
            </w:rPr>
            <w:t xml:space="preserve">Page </w:t>
          </w:r>
          <w:r>
            <w:rPr>
              <w:color w:val="000000"/>
              <w:sz w:val="24"/>
            </w:rPr>
            <w:fldChar w:fldCharType="begin"/>
          </w:r>
          <w:r>
            <w:rPr>
              <w:color w:val="000000"/>
              <w:sz w:val="24"/>
            </w:rPr>
            <w:instrText>PAGE</w:instrText>
          </w:r>
          <w:r>
            <w:rPr>
              <w:color w:val="000000"/>
              <w:sz w:val="24"/>
            </w:rPr>
            <w:fldChar w:fldCharType="separate"/>
          </w:r>
          <w:r w:rsidR="005B4B29">
            <w:rPr>
              <w:noProof/>
              <w:color w:val="000000"/>
              <w:sz w:val="24"/>
            </w:rPr>
            <w:t>1</w:t>
          </w:r>
          <w:r>
            <w:rPr>
              <w:color w:val="000000"/>
              <w:sz w:val="24"/>
            </w:rPr>
            <w:fldChar w:fldCharType="end"/>
          </w:r>
          <w:r>
            <w:rPr>
              <w:color w:val="000000"/>
              <w:sz w:val="24"/>
            </w:rPr>
            <w:t xml:space="preserve"> of </w:t>
          </w:r>
          <w:r>
            <w:rPr>
              <w:color w:val="000000"/>
              <w:sz w:val="24"/>
            </w:rPr>
            <w:fldChar w:fldCharType="begin"/>
          </w:r>
          <w:r>
            <w:rPr>
              <w:color w:val="000000"/>
              <w:sz w:val="24"/>
            </w:rPr>
            <w:instrText>NUMPAGES</w:instrText>
          </w:r>
          <w:r>
            <w:rPr>
              <w:color w:val="000000"/>
              <w:sz w:val="24"/>
            </w:rPr>
            <w:fldChar w:fldCharType="separate"/>
          </w:r>
          <w:r w:rsidR="005B4B29">
            <w:rPr>
              <w:noProof/>
              <w:color w:val="000000"/>
              <w:sz w:val="24"/>
            </w:rPr>
            <w:t>2</w:t>
          </w:r>
          <w:r>
            <w:rPr>
              <w:color w:val="000000"/>
              <w:sz w:val="24"/>
            </w:rPr>
            <w:fldChar w:fldCharType="end"/>
          </w:r>
        </w:p>
        <w:p w14:paraId="024960CB" w14:textId="3EFE10B2" w:rsidR="00210245" w:rsidRDefault="00A277A5">
          <w:pPr>
            <w:pBdr>
              <w:top w:val="nil"/>
              <w:left w:val="nil"/>
              <w:bottom w:val="nil"/>
              <w:right w:val="nil"/>
              <w:between w:val="nil"/>
            </w:pBdr>
            <w:tabs>
              <w:tab w:val="center" w:pos="4320"/>
              <w:tab w:val="right" w:pos="8640"/>
              <w:tab w:val="right" w:pos="9360"/>
            </w:tabs>
            <w:jc w:val="right"/>
            <w:rPr>
              <w:color w:val="000000"/>
              <w:sz w:val="24"/>
            </w:rPr>
          </w:pPr>
          <w:r>
            <w:rPr>
              <w:sz w:val="24"/>
              <w:u w:val="single"/>
            </w:rPr>
            <w:t>Discussion</w:t>
          </w:r>
          <w:r w:rsidR="005F1B93">
            <w:rPr>
              <w:color w:val="000000"/>
              <w:sz w:val="24"/>
              <w:u w:val="single"/>
            </w:rPr>
            <w:t xml:space="preserve"> Item</w:t>
          </w:r>
        </w:p>
      </w:tc>
    </w:tr>
  </w:tbl>
  <w:p w14:paraId="74C262D0" w14:textId="77777777" w:rsidR="00210245" w:rsidRDefault="00210245">
    <w:pPr>
      <w:pBdr>
        <w:top w:val="nil"/>
        <w:left w:val="nil"/>
        <w:bottom w:val="nil"/>
        <w:right w:val="nil"/>
        <w:between w:val="nil"/>
      </w:pBdr>
      <w:tabs>
        <w:tab w:val="center" w:pos="4320"/>
        <w:tab w:val="right" w:pos="8640"/>
        <w:tab w:val="right" w:pos="9360"/>
      </w:tabs>
      <w:rPr>
        <w:color w:val="000000"/>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C16"/>
    <w:multiLevelType w:val="multilevel"/>
    <w:tmpl w:val="C49E932C"/>
    <w:lvl w:ilvl="0">
      <w:start w:val="3"/>
      <w:numFmt w:val="upperRoman"/>
      <w:lvlText w:val="%1."/>
      <w:lvlJc w:val="left"/>
      <w:pPr>
        <w:ind w:left="720" w:hanging="720"/>
      </w:pPr>
      <w:rPr>
        <w:b/>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3287848"/>
    <w:multiLevelType w:val="multilevel"/>
    <w:tmpl w:val="4E90548A"/>
    <w:lvl w:ilvl="0">
      <w:start w:val="1"/>
      <w:numFmt w:val="bullet"/>
      <w:lvlText w:val="●"/>
      <w:lvlJc w:val="left"/>
      <w:pPr>
        <w:ind w:left="720" w:hanging="360"/>
      </w:pPr>
      <w:rPr>
        <w:rFonts w:ascii="Times New Roman" w:eastAsia="Times New Roman" w:hAnsi="Times New Roman" w:cs="Times New Roman"/>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DE469B"/>
    <w:multiLevelType w:val="hybridMultilevel"/>
    <w:tmpl w:val="CC50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727AD"/>
    <w:multiLevelType w:val="multilevel"/>
    <w:tmpl w:val="84485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8412C2"/>
    <w:multiLevelType w:val="multilevel"/>
    <w:tmpl w:val="87D8DC7A"/>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BE37977"/>
    <w:multiLevelType w:val="multilevel"/>
    <w:tmpl w:val="31A84EF8"/>
    <w:lvl w:ilvl="0">
      <w:start w:val="1"/>
      <w:numFmt w:val="upperRoman"/>
      <w:lvlText w:val="%1."/>
      <w:lvlJc w:val="left"/>
      <w:pPr>
        <w:ind w:left="720" w:hanging="72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B3F2169"/>
    <w:multiLevelType w:val="multilevel"/>
    <w:tmpl w:val="CB96F158"/>
    <w:lvl w:ilvl="0">
      <w:start w:val="1"/>
      <w:numFmt w:val="bullet"/>
      <w:lvlText w:val="●"/>
      <w:lvlJc w:val="left"/>
      <w:pPr>
        <w:ind w:left="3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9A806E1"/>
    <w:multiLevelType w:val="multilevel"/>
    <w:tmpl w:val="16E242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4"/>
  </w:num>
  <w:num w:numId="3">
    <w:abstractNumId w:val="7"/>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45"/>
    <w:rsid w:val="0001443E"/>
    <w:rsid w:val="00182A53"/>
    <w:rsid w:val="00210245"/>
    <w:rsid w:val="00276842"/>
    <w:rsid w:val="003628EB"/>
    <w:rsid w:val="003C0C8E"/>
    <w:rsid w:val="004634C0"/>
    <w:rsid w:val="0054784C"/>
    <w:rsid w:val="005A1481"/>
    <w:rsid w:val="005B4B29"/>
    <w:rsid w:val="005C22A8"/>
    <w:rsid w:val="005F1B93"/>
    <w:rsid w:val="006A38BA"/>
    <w:rsid w:val="006C1B73"/>
    <w:rsid w:val="006D5CE0"/>
    <w:rsid w:val="00841E68"/>
    <w:rsid w:val="00A277A5"/>
    <w:rsid w:val="00C678A7"/>
    <w:rsid w:val="00CF1A98"/>
    <w:rsid w:val="00DE5258"/>
    <w:rsid w:val="00EF6B20"/>
    <w:rsid w:val="00EF774F"/>
    <w:rsid w:val="00F2340F"/>
    <w:rsid w:val="00FA2548"/>
    <w:rsid w:val="00FB4D0A"/>
    <w:rsid w:val="068E56F9"/>
    <w:rsid w:val="079DE72F"/>
    <w:rsid w:val="11889174"/>
    <w:rsid w:val="1EB6E2B6"/>
    <w:rsid w:val="2BBA43E4"/>
    <w:rsid w:val="34B02F17"/>
    <w:rsid w:val="34DB3EF3"/>
    <w:rsid w:val="36770F54"/>
    <w:rsid w:val="42974656"/>
    <w:rsid w:val="44F95043"/>
    <w:rsid w:val="4830F105"/>
    <w:rsid w:val="55A1110D"/>
    <w:rsid w:val="5F8BBB52"/>
    <w:rsid w:val="65E95C5D"/>
    <w:rsid w:val="6600326D"/>
    <w:rsid w:val="68082A30"/>
    <w:rsid w:val="725E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7E70"/>
  <w15:docId w15:val="{A6EF7F5B-1A5C-4DFD-BAC6-2D014F20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496"/>
    <w:rPr>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0134FF"/>
    <w:pPr>
      <w:keepNext/>
      <w:jc w:val="both"/>
      <w:outlineLvl w:val="1"/>
    </w:pPr>
    <w:rPr>
      <w:rFonts w:ascii="CG Times" w:hAnsi="CG Times"/>
      <w:b/>
      <w:sz w:val="24"/>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773EDF"/>
    <w:rPr>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character" w:customStyle="1" w:styleId="NoSpacingChar">
    <w:name w:val="No Spacing Char"/>
    <w:basedOn w:val="DefaultParagraphFont"/>
    <w:link w:val="NoSpacing"/>
    <w:uiPriority w:val="1"/>
    <w:locked/>
    <w:rsid w:val="00D84683"/>
    <w:rPr>
      <w:sz w:val="22"/>
      <w:szCs w:val="24"/>
    </w:rPr>
  </w:style>
  <w:style w:type="paragraph" w:customStyle="1" w:styleId="Pa1">
    <w:name w:val="Pa1"/>
    <w:basedOn w:val="Default"/>
    <w:next w:val="Default"/>
    <w:uiPriority w:val="99"/>
    <w:rsid w:val="0089107A"/>
    <w:pPr>
      <w:widowControl/>
      <w:spacing w:line="221" w:lineRule="atLeast"/>
    </w:pPr>
    <w:rPr>
      <w:rFonts w:ascii="Open Sans" w:hAnsi="Open Sans"/>
      <w:color w:val="auto"/>
    </w:rPr>
  </w:style>
  <w:style w:type="character" w:customStyle="1" w:styleId="A10">
    <w:name w:val="A10"/>
    <w:uiPriority w:val="99"/>
    <w:rsid w:val="0089107A"/>
    <w:rPr>
      <w:rFonts w:cs="Open Sans"/>
      <w:color w:val="000000"/>
      <w:sz w:val="20"/>
      <w:szCs w:val="20"/>
    </w:rPr>
  </w:style>
  <w:style w:type="paragraph" w:customStyle="1" w:styleId="xmsonormal">
    <w:name w:val="x_msonormal"/>
    <w:basedOn w:val="Normal"/>
    <w:rsid w:val="00CC4E90"/>
    <w:pPr>
      <w:spacing w:before="100" w:beforeAutospacing="1" w:after="100" w:afterAutospacing="1"/>
    </w:pPr>
    <w:rPr>
      <w:sz w:val="24"/>
    </w:rPr>
  </w:style>
  <w:style w:type="character" w:styleId="UnresolvedMention">
    <w:name w:val="Unresolved Mention"/>
    <w:basedOn w:val="DefaultParagraphFont"/>
    <w:uiPriority w:val="99"/>
    <w:semiHidden/>
    <w:unhideWhenUsed/>
    <w:rsid w:val="00F86A2F"/>
    <w:rPr>
      <w:color w:val="605E5C"/>
      <w:shd w:val="clear" w:color="auto" w:fill="E1DFDD"/>
    </w:rPr>
  </w:style>
  <w:style w:type="character" w:customStyle="1" w:styleId="normaltextrun">
    <w:name w:val="normaltextrun"/>
    <w:basedOn w:val="DefaultParagraphFont"/>
    <w:rsid w:val="00F86A2F"/>
  </w:style>
  <w:style w:type="character" w:customStyle="1" w:styleId="eop">
    <w:name w:val="eop"/>
    <w:basedOn w:val="DefaultParagraphFont"/>
    <w:rsid w:val="00F86A2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F2340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09295">
      <w:bodyDiv w:val="1"/>
      <w:marLeft w:val="0"/>
      <w:marRight w:val="0"/>
      <w:marTop w:val="0"/>
      <w:marBottom w:val="0"/>
      <w:divBdr>
        <w:top w:val="none" w:sz="0" w:space="0" w:color="auto"/>
        <w:left w:val="none" w:sz="0" w:space="0" w:color="auto"/>
        <w:bottom w:val="none" w:sz="0" w:space="0" w:color="auto"/>
        <w:right w:val="none" w:sz="0" w:space="0" w:color="auto"/>
      </w:divBdr>
    </w:div>
    <w:div w:id="10180018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bhir9gBXP9jJfnmZyARBq7HjfQ==">AMUW2mVLdoKf89+o+KExlIEKtT6LoUKyxjJK/TzUUqsT4sR5FJXOUs9xApAOT2K5fdgAdRGkxKZSSzg6swxEC+cLU4IwSf3PyFH6PedXeoYbNhd+d3pcz2tOB7yQqLpWcmC63p8P4zz7sn37qYiP0LGz2VlYw4YEgRY+q484wPR9cYMzdvj2+htqOUSnnAoR+mZ6W/g+NdIhcFSOKj2UMNMPj5vy90pgw9U+ViC7IsLNj/SjiU3wpd3eJ8+HQmYksb1iQiIn+pv4jzWO4DHWW22UqPfBozITCtaanVORpGnYhSdLu/gWuB46cU5KM9AvRwatLbHvO8rWG37bhPwgGD/WJNWfIxGXM4ULl3n6gNiIvBug8s+FQ2PVscYtniFhCIA99oCPXlbNztE/9DCekjlQ3XDqPuhibdafNmjbv17Icyyw9vs6/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Emily</dc:creator>
  <cp:keywords/>
  <cp:lastModifiedBy>Kim Poast</cp:lastModifiedBy>
  <cp:revision>2</cp:revision>
  <dcterms:created xsi:type="dcterms:W3CDTF">2022-05-21T20:05:00Z</dcterms:created>
  <dcterms:modified xsi:type="dcterms:W3CDTF">2022-05-21T20:05:00Z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0x01010081526E0EEEA08E49951A6F555B74E471</vt:lpwstr>
  </property>
</Properties>
</file>