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EAAF" w14:textId="77777777" w:rsidR="002A0220" w:rsidRPr="00DF1E25" w:rsidRDefault="002A0220" w:rsidP="00773EDF">
      <w:pPr>
        <w:pStyle w:val="NoSpacing"/>
      </w:pPr>
    </w:p>
    <w:p w14:paraId="078F0CBA" w14:textId="2BD41E5E" w:rsidR="00597D47" w:rsidRPr="00295639" w:rsidRDefault="000134FF" w:rsidP="00597D47">
      <w:pPr>
        <w:pStyle w:val="CM1"/>
        <w:ind w:left="2160" w:hanging="2160"/>
        <w:jc w:val="both"/>
        <w:rPr>
          <w:sz w:val="23"/>
          <w:szCs w:val="23"/>
        </w:rPr>
      </w:pPr>
      <w:r w:rsidRPr="001B4476">
        <w:rPr>
          <w:b/>
        </w:rPr>
        <w:t>TOPIC:</w:t>
      </w:r>
      <w:r w:rsidRPr="001B4476">
        <w:rPr>
          <w:b/>
        </w:rPr>
        <w:tab/>
      </w:r>
      <w:r w:rsidR="002D69CD">
        <w:rPr>
          <w:bCs/>
          <w:sz w:val="23"/>
          <w:szCs w:val="23"/>
        </w:rPr>
        <w:t xml:space="preserve">DEGREE AUTHORIZATION: RECOMMENDATION OF THE RENEWAL OF AUTHORIZATION AS A PLACE OF BUSINESS </w:t>
      </w:r>
      <w:r w:rsidR="00DE324E">
        <w:rPr>
          <w:bCs/>
          <w:sz w:val="23"/>
          <w:szCs w:val="23"/>
        </w:rPr>
        <w:t>(NO INSTRUTION) – UNIVERSITY OF ARIZONA GLOBAL CAMPUS</w:t>
      </w:r>
    </w:p>
    <w:p w14:paraId="15E7E42F" w14:textId="77777777" w:rsidR="000134FF" w:rsidRPr="00DF1E25" w:rsidRDefault="000134FF" w:rsidP="00773EDF">
      <w:pPr>
        <w:pStyle w:val="NoSpacing"/>
        <w:rPr>
          <w:caps/>
          <w:sz w:val="24"/>
        </w:rPr>
      </w:pPr>
    </w:p>
    <w:p w14:paraId="7C29A3C8" w14:textId="77777777" w:rsidR="000134FF" w:rsidRPr="00DF1E25" w:rsidRDefault="000134FF" w:rsidP="0019296E">
      <w:pPr>
        <w:pStyle w:val="NoSpacing"/>
        <w:ind w:left="2160" w:hanging="2160"/>
        <w:rPr>
          <w:i/>
          <w:color w:val="0000FF"/>
          <w:sz w:val="24"/>
        </w:rPr>
      </w:pPr>
      <w:r w:rsidRPr="00DF1E25">
        <w:rPr>
          <w:b/>
          <w:sz w:val="24"/>
        </w:rPr>
        <w:t>PREPARED BY:</w:t>
      </w:r>
      <w:r w:rsidRPr="00DF1E25">
        <w:rPr>
          <w:b/>
          <w:sz w:val="24"/>
        </w:rPr>
        <w:tab/>
      </w:r>
      <w:r w:rsidR="0019296E">
        <w:rPr>
          <w:bCs/>
          <w:sz w:val="23"/>
          <w:szCs w:val="23"/>
        </w:rPr>
        <w:t>HEATHER DELANGE, OFFICE OF PRIVATE POSTSECONDARY EDUCATION</w:t>
      </w:r>
      <w:r w:rsidR="009858D8" w:rsidRPr="00DF1E25">
        <w:rPr>
          <w:b/>
          <w:sz w:val="24"/>
        </w:rPr>
        <w:t xml:space="preserve"> </w:t>
      </w:r>
    </w:p>
    <w:p w14:paraId="647D1F26" w14:textId="77777777" w:rsidR="000134FF" w:rsidRPr="00DF1E25" w:rsidRDefault="000134FF" w:rsidP="00773EDF">
      <w:pPr>
        <w:pStyle w:val="NoSpacing"/>
        <w:rPr>
          <w:b/>
          <w:sz w:val="24"/>
        </w:rPr>
      </w:pPr>
    </w:p>
    <w:p w14:paraId="2F20D96F" w14:textId="77777777" w:rsidR="00FB6494" w:rsidRDefault="00FB6494" w:rsidP="00FB6494">
      <w:pPr>
        <w:pStyle w:val="NoSpacing"/>
        <w:numPr>
          <w:ilvl w:val="0"/>
          <w:numId w:val="47"/>
        </w:numPr>
        <w:ind w:left="540" w:hanging="540"/>
        <w:rPr>
          <w:b/>
          <w:sz w:val="24"/>
          <w:u w:val="single"/>
        </w:rPr>
      </w:pPr>
      <w:r>
        <w:rPr>
          <w:b/>
          <w:sz w:val="24"/>
          <w:u w:val="single"/>
        </w:rPr>
        <w:t>SUMMARY</w:t>
      </w:r>
      <w:r>
        <w:rPr>
          <w:b/>
          <w:sz w:val="24"/>
          <w:u w:val="single"/>
        </w:rPr>
        <w:br/>
      </w:r>
    </w:p>
    <w:p w14:paraId="1A424EFE" w14:textId="290C08BC" w:rsidR="00FB6494" w:rsidRDefault="0019296E" w:rsidP="00FB6494">
      <w:pPr>
        <w:pStyle w:val="NoSpacing"/>
        <w:rPr>
          <w:sz w:val="24"/>
        </w:rPr>
      </w:pPr>
      <w:r>
        <w:rPr>
          <w:sz w:val="24"/>
        </w:rPr>
        <w:t xml:space="preserve">This consent item recommends the renewal of authorization as a Place of Business (with no instruction) for </w:t>
      </w:r>
      <w:r w:rsidR="00295639">
        <w:rPr>
          <w:sz w:val="24"/>
        </w:rPr>
        <w:t>the University of Arizona Global Campus (formerly known as Ashford University)</w:t>
      </w:r>
      <w:r>
        <w:rPr>
          <w:sz w:val="24"/>
        </w:rPr>
        <w:t xml:space="preserve"> under the Degree Authorization Act. </w:t>
      </w:r>
    </w:p>
    <w:p w14:paraId="7CDD2DAD" w14:textId="77777777" w:rsidR="00FB6494" w:rsidRPr="00FB6494" w:rsidRDefault="00FB6494" w:rsidP="00FB6494">
      <w:pPr>
        <w:pStyle w:val="NoSpacing"/>
        <w:rPr>
          <w:sz w:val="24"/>
        </w:rPr>
      </w:pPr>
    </w:p>
    <w:p w14:paraId="4C2E4A05" w14:textId="77777777" w:rsidR="00FB6494" w:rsidRDefault="00FB6494" w:rsidP="00FB6494">
      <w:pPr>
        <w:pStyle w:val="NoSpacing"/>
        <w:numPr>
          <w:ilvl w:val="0"/>
          <w:numId w:val="47"/>
        </w:numPr>
        <w:ind w:left="540" w:hanging="540"/>
        <w:rPr>
          <w:b/>
          <w:sz w:val="24"/>
          <w:u w:val="single"/>
        </w:rPr>
      </w:pPr>
      <w:r>
        <w:rPr>
          <w:b/>
          <w:sz w:val="24"/>
          <w:u w:val="single"/>
        </w:rPr>
        <w:t>BACKGROUND</w:t>
      </w:r>
    </w:p>
    <w:p w14:paraId="26DA8B8B" w14:textId="77777777" w:rsidR="00FB6494" w:rsidRDefault="00FB6494" w:rsidP="00FB6494">
      <w:pPr>
        <w:pStyle w:val="NoSpacing"/>
        <w:rPr>
          <w:b/>
          <w:sz w:val="24"/>
          <w:u w:val="single"/>
        </w:rPr>
      </w:pPr>
    </w:p>
    <w:p w14:paraId="2928124A" w14:textId="77777777" w:rsidR="0019296E" w:rsidRDefault="0019296E" w:rsidP="0019296E">
      <w:pPr>
        <w:autoSpaceDE w:val="0"/>
        <w:autoSpaceDN w:val="0"/>
        <w:adjustRightInd w:val="0"/>
        <w:jc w:val="both"/>
        <w:rPr>
          <w:color w:val="000000"/>
          <w:sz w:val="23"/>
          <w:szCs w:val="23"/>
        </w:rPr>
      </w:pPr>
      <w:r w:rsidRPr="0019296E">
        <w:rPr>
          <w:color w:val="000000"/>
          <w:sz w:val="23"/>
          <w:szCs w:val="23"/>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01525C9B" w14:textId="77777777" w:rsidR="0019296E" w:rsidRPr="0019296E" w:rsidRDefault="0019296E" w:rsidP="0019296E">
      <w:pPr>
        <w:autoSpaceDE w:val="0"/>
        <w:autoSpaceDN w:val="0"/>
        <w:adjustRightInd w:val="0"/>
        <w:jc w:val="both"/>
        <w:rPr>
          <w:color w:val="000000"/>
          <w:sz w:val="23"/>
          <w:szCs w:val="23"/>
        </w:rPr>
      </w:pPr>
    </w:p>
    <w:p w14:paraId="4FB750DE" w14:textId="77777777" w:rsidR="0019296E" w:rsidRDefault="0019296E" w:rsidP="0019296E">
      <w:pPr>
        <w:autoSpaceDE w:val="0"/>
        <w:autoSpaceDN w:val="0"/>
        <w:adjustRightInd w:val="0"/>
        <w:jc w:val="both"/>
        <w:rPr>
          <w:color w:val="000000"/>
          <w:sz w:val="23"/>
          <w:szCs w:val="23"/>
        </w:rPr>
      </w:pPr>
      <w:r w:rsidRPr="0019296E">
        <w:rPr>
          <w:color w:val="000000"/>
          <w:sz w:val="23"/>
          <w:szCs w:val="23"/>
        </w:rPr>
        <w:t xml:space="preserve">Pursuant to statute and policy, all authorized institutions under the DAA must renew authorization periodically. The renewal period varies by the type of authorization the institution holds from the CCHE. A private college or university that has authorization as a Place of Business by the CCHE shall annually renew its authorization. </w:t>
      </w:r>
    </w:p>
    <w:p w14:paraId="46A63515" w14:textId="77777777" w:rsidR="0019296E" w:rsidRPr="0019296E" w:rsidRDefault="0019296E" w:rsidP="0019296E">
      <w:pPr>
        <w:autoSpaceDE w:val="0"/>
        <w:autoSpaceDN w:val="0"/>
        <w:adjustRightInd w:val="0"/>
        <w:jc w:val="both"/>
        <w:rPr>
          <w:color w:val="000000"/>
          <w:sz w:val="23"/>
          <w:szCs w:val="23"/>
        </w:rPr>
      </w:pPr>
    </w:p>
    <w:p w14:paraId="714F432A" w14:textId="322FEFBF" w:rsidR="00FB6494" w:rsidRDefault="0019296E" w:rsidP="0019296E">
      <w:pPr>
        <w:pStyle w:val="NoSpacing"/>
        <w:jc w:val="both"/>
        <w:rPr>
          <w:color w:val="000000"/>
          <w:sz w:val="23"/>
          <w:szCs w:val="23"/>
        </w:rPr>
      </w:pPr>
      <w:r w:rsidRPr="0019296E">
        <w:rPr>
          <w:color w:val="000000"/>
          <w:sz w:val="23"/>
          <w:szCs w:val="23"/>
        </w:rPr>
        <w:t>The Place of Business (with no instruction) authorization is defined as an accredited institution having a place of business within Colorado</w:t>
      </w:r>
      <w:r w:rsidR="00DE324E">
        <w:rPr>
          <w:color w:val="000000"/>
          <w:sz w:val="23"/>
          <w:szCs w:val="23"/>
        </w:rPr>
        <w:t>, such as an administrative office, but does not provide the authorization to offer</w:t>
      </w:r>
      <w:r w:rsidRPr="0019296E">
        <w:rPr>
          <w:color w:val="000000"/>
          <w:sz w:val="23"/>
          <w:szCs w:val="23"/>
        </w:rPr>
        <w:t xml:space="preserve"> instruction in the state.</w:t>
      </w:r>
      <w:r>
        <w:rPr>
          <w:color w:val="000000"/>
          <w:sz w:val="23"/>
          <w:szCs w:val="23"/>
        </w:rPr>
        <w:t xml:space="preserve"> These institutions are subject to the deceptive trade practice provisions in §23-2-104, C.R.S.</w:t>
      </w:r>
    </w:p>
    <w:p w14:paraId="23B90C14" w14:textId="0D112A2B" w:rsidR="00295639" w:rsidRDefault="00295639" w:rsidP="0019296E">
      <w:pPr>
        <w:pStyle w:val="NoSpacing"/>
        <w:jc w:val="both"/>
        <w:rPr>
          <w:color w:val="000000"/>
          <w:sz w:val="23"/>
          <w:szCs w:val="23"/>
        </w:rPr>
      </w:pPr>
    </w:p>
    <w:p w14:paraId="58970C6A" w14:textId="05AC1823" w:rsidR="002D69CD" w:rsidRDefault="002D69CD" w:rsidP="0019296E">
      <w:pPr>
        <w:pStyle w:val="NoSpacing"/>
        <w:jc w:val="both"/>
        <w:rPr>
          <w:color w:val="000000"/>
          <w:sz w:val="23"/>
          <w:szCs w:val="23"/>
        </w:rPr>
      </w:pPr>
      <w:r>
        <w:rPr>
          <w:color w:val="000000"/>
          <w:sz w:val="23"/>
          <w:szCs w:val="23"/>
        </w:rPr>
        <w:t>Ashford University established a call center in Denver, CO in 2011 to house staff for admissions, financial aid and student advising efforts for the University which at that time operated a campus in Iowa and had its headquarters in San Diego, CA. In 2019, Bridgepoint Education</w:t>
      </w:r>
      <w:r w:rsidR="00467A0A">
        <w:rPr>
          <w:color w:val="000000"/>
          <w:sz w:val="23"/>
          <w:szCs w:val="23"/>
        </w:rPr>
        <w:t>,</w:t>
      </w:r>
      <w:r>
        <w:rPr>
          <w:color w:val="000000"/>
          <w:sz w:val="23"/>
          <w:szCs w:val="23"/>
        </w:rPr>
        <w:t xml:space="preserve"> </w:t>
      </w:r>
      <w:r w:rsidR="00467A0A">
        <w:rPr>
          <w:color w:val="000000"/>
          <w:sz w:val="23"/>
          <w:szCs w:val="23"/>
        </w:rPr>
        <w:t xml:space="preserve">former parent company of </w:t>
      </w:r>
      <w:r>
        <w:rPr>
          <w:color w:val="000000"/>
          <w:sz w:val="23"/>
          <w:szCs w:val="23"/>
        </w:rPr>
        <w:t xml:space="preserve">Ashford University, changed its name to </w:t>
      </w:r>
      <w:proofErr w:type="spellStart"/>
      <w:r>
        <w:rPr>
          <w:color w:val="000000"/>
          <w:sz w:val="23"/>
          <w:szCs w:val="23"/>
        </w:rPr>
        <w:t>Zovio</w:t>
      </w:r>
      <w:proofErr w:type="spellEnd"/>
      <w:r>
        <w:rPr>
          <w:color w:val="000000"/>
          <w:sz w:val="23"/>
          <w:szCs w:val="23"/>
        </w:rPr>
        <w:t xml:space="preserve"> and relocated its headquarters to Chandler, AZ and continued </w:t>
      </w:r>
      <w:r w:rsidR="007D0655">
        <w:rPr>
          <w:color w:val="000000"/>
          <w:sz w:val="23"/>
          <w:szCs w:val="23"/>
        </w:rPr>
        <w:t>its</w:t>
      </w:r>
      <w:r>
        <w:rPr>
          <w:color w:val="000000"/>
          <w:sz w:val="23"/>
          <w:szCs w:val="23"/>
        </w:rPr>
        <w:t xml:space="preserve"> operations in San Diego, CA, Clinton, </w:t>
      </w:r>
      <w:proofErr w:type="gramStart"/>
      <w:r>
        <w:rPr>
          <w:color w:val="000000"/>
          <w:sz w:val="23"/>
          <w:szCs w:val="23"/>
        </w:rPr>
        <w:t>IA</w:t>
      </w:r>
      <w:proofErr w:type="gramEnd"/>
      <w:r>
        <w:rPr>
          <w:color w:val="000000"/>
          <w:sz w:val="23"/>
          <w:szCs w:val="23"/>
        </w:rPr>
        <w:t xml:space="preserve"> and Denver, CO</w:t>
      </w:r>
      <w:r w:rsidR="007D0655">
        <w:rPr>
          <w:color w:val="000000"/>
          <w:sz w:val="23"/>
          <w:szCs w:val="23"/>
        </w:rPr>
        <w:t xml:space="preserve">. </w:t>
      </w:r>
      <w:r w:rsidR="00467A0A">
        <w:rPr>
          <w:color w:val="000000"/>
          <w:sz w:val="23"/>
          <w:szCs w:val="23"/>
        </w:rPr>
        <w:t xml:space="preserve">Once </w:t>
      </w:r>
      <w:proofErr w:type="spellStart"/>
      <w:r w:rsidR="00467A0A">
        <w:rPr>
          <w:color w:val="000000"/>
          <w:sz w:val="23"/>
          <w:szCs w:val="23"/>
        </w:rPr>
        <w:t>Zovio</w:t>
      </w:r>
      <w:proofErr w:type="spellEnd"/>
      <w:r w:rsidR="00467A0A">
        <w:rPr>
          <w:color w:val="000000"/>
          <w:sz w:val="23"/>
          <w:szCs w:val="23"/>
        </w:rPr>
        <w:t xml:space="preserve"> was the official parent company, it submitted its application to convert from a for-profit entity to a not-for-profit entity. </w:t>
      </w:r>
      <w:r>
        <w:rPr>
          <w:color w:val="000000"/>
          <w:sz w:val="23"/>
          <w:szCs w:val="23"/>
        </w:rPr>
        <w:t xml:space="preserve"> </w:t>
      </w:r>
    </w:p>
    <w:p w14:paraId="66506E98" w14:textId="36AFB541" w:rsidR="007D0655" w:rsidRDefault="007D0655" w:rsidP="0019296E">
      <w:pPr>
        <w:pStyle w:val="NoSpacing"/>
        <w:jc w:val="both"/>
        <w:rPr>
          <w:color w:val="000000"/>
          <w:sz w:val="23"/>
          <w:szCs w:val="23"/>
        </w:rPr>
      </w:pPr>
    </w:p>
    <w:p w14:paraId="0041EC98" w14:textId="6C08E6B6" w:rsidR="007D0655" w:rsidRDefault="007D0655" w:rsidP="007D0655">
      <w:pPr>
        <w:pStyle w:val="NoSpacing"/>
        <w:jc w:val="both"/>
        <w:rPr>
          <w:color w:val="000000"/>
          <w:sz w:val="23"/>
          <w:szCs w:val="23"/>
        </w:rPr>
      </w:pPr>
      <w:r>
        <w:rPr>
          <w:color w:val="000000"/>
          <w:sz w:val="23"/>
          <w:szCs w:val="23"/>
        </w:rPr>
        <w:t xml:space="preserve">In 2020, </w:t>
      </w:r>
      <w:r w:rsidR="00E04D71">
        <w:rPr>
          <w:color w:val="000000"/>
          <w:sz w:val="23"/>
          <w:szCs w:val="23"/>
        </w:rPr>
        <w:t xml:space="preserve">the University of Arizona </w:t>
      </w:r>
      <w:r w:rsidR="00883725">
        <w:rPr>
          <w:color w:val="000000"/>
          <w:sz w:val="23"/>
          <w:szCs w:val="23"/>
        </w:rPr>
        <w:t xml:space="preserve">acquired </w:t>
      </w:r>
      <w:r>
        <w:rPr>
          <w:color w:val="000000"/>
          <w:sz w:val="23"/>
          <w:szCs w:val="23"/>
        </w:rPr>
        <w:t xml:space="preserve">Ashford University and </w:t>
      </w:r>
      <w:r w:rsidR="00883725">
        <w:rPr>
          <w:color w:val="000000"/>
          <w:sz w:val="23"/>
          <w:szCs w:val="23"/>
        </w:rPr>
        <w:t>is now k</w:t>
      </w:r>
      <w:r>
        <w:rPr>
          <w:color w:val="000000"/>
          <w:sz w:val="23"/>
          <w:szCs w:val="23"/>
        </w:rPr>
        <w:t xml:space="preserve">nown as University of Arizona Global Campus. The institution still operates out of San Diego, California, continues to hold institutional accreditation through the Western Association of Schools and Colleges (WASC), Senior College and University Commission and continues to maintain its various programmatic accreditation. The Denver, CO location is now comprised of </w:t>
      </w:r>
      <w:proofErr w:type="spellStart"/>
      <w:r>
        <w:rPr>
          <w:color w:val="000000"/>
          <w:sz w:val="23"/>
          <w:szCs w:val="23"/>
        </w:rPr>
        <w:t>Zovio</w:t>
      </w:r>
      <w:proofErr w:type="spellEnd"/>
      <w:r>
        <w:rPr>
          <w:color w:val="000000"/>
          <w:sz w:val="23"/>
          <w:szCs w:val="23"/>
        </w:rPr>
        <w:t xml:space="preserve"> employees</w:t>
      </w:r>
      <w:r w:rsidR="00CB2491">
        <w:rPr>
          <w:color w:val="000000"/>
          <w:sz w:val="23"/>
          <w:szCs w:val="23"/>
        </w:rPr>
        <w:t>,</w:t>
      </w:r>
      <w:r w:rsidR="00883725">
        <w:rPr>
          <w:color w:val="000000"/>
          <w:sz w:val="23"/>
          <w:szCs w:val="23"/>
        </w:rPr>
        <w:t xml:space="preserve"> under a shared services agreement</w:t>
      </w:r>
      <w:r>
        <w:rPr>
          <w:color w:val="000000"/>
          <w:sz w:val="23"/>
          <w:szCs w:val="23"/>
        </w:rPr>
        <w:t xml:space="preserve">, and that entity will continue to offer third-party Online Program Management (OPM) services to the University of Arizona Global Campus and its students. </w:t>
      </w:r>
    </w:p>
    <w:p w14:paraId="207C06CF" w14:textId="77777777" w:rsidR="00984B6B" w:rsidRDefault="00984B6B" w:rsidP="0019296E">
      <w:pPr>
        <w:pStyle w:val="NoSpacing"/>
        <w:jc w:val="both"/>
        <w:rPr>
          <w:color w:val="000000"/>
          <w:sz w:val="23"/>
          <w:szCs w:val="23"/>
        </w:rPr>
      </w:pPr>
    </w:p>
    <w:p w14:paraId="668B715C" w14:textId="35DA0B09" w:rsidR="00295639" w:rsidRDefault="00984B6B" w:rsidP="0019296E">
      <w:pPr>
        <w:pStyle w:val="NoSpacing"/>
        <w:jc w:val="both"/>
        <w:rPr>
          <w:color w:val="000000"/>
          <w:sz w:val="23"/>
          <w:szCs w:val="23"/>
        </w:rPr>
      </w:pPr>
      <w:r>
        <w:rPr>
          <w:color w:val="000000"/>
          <w:sz w:val="23"/>
          <w:szCs w:val="23"/>
        </w:rPr>
        <w:t>Under the University of Arizona Global Campus shared services agreement, staff in the enrollment and student advising departments support UAGC’s prospective and current online students</w:t>
      </w:r>
      <w:r w:rsidR="002D69CD">
        <w:rPr>
          <w:color w:val="000000"/>
          <w:sz w:val="23"/>
          <w:szCs w:val="23"/>
        </w:rPr>
        <w:t xml:space="preserve">. </w:t>
      </w:r>
    </w:p>
    <w:p w14:paraId="08D0889D" w14:textId="77777777" w:rsidR="0019296E" w:rsidRDefault="0019296E" w:rsidP="0019296E">
      <w:pPr>
        <w:pStyle w:val="NoSpacing"/>
        <w:rPr>
          <w:b/>
          <w:sz w:val="24"/>
          <w:u w:val="single"/>
        </w:rPr>
      </w:pPr>
    </w:p>
    <w:p w14:paraId="4315A74E" w14:textId="77777777" w:rsidR="00FB6494" w:rsidRDefault="00FB6494" w:rsidP="00FB6494">
      <w:pPr>
        <w:pStyle w:val="NoSpacing"/>
        <w:numPr>
          <w:ilvl w:val="0"/>
          <w:numId w:val="47"/>
        </w:numPr>
        <w:ind w:left="540" w:hanging="540"/>
        <w:rPr>
          <w:b/>
          <w:sz w:val="24"/>
          <w:u w:val="single"/>
        </w:rPr>
      </w:pPr>
      <w:r>
        <w:rPr>
          <w:b/>
          <w:sz w:val="24"/>
          <w:u w:val="single"/>
        </w:rPr>
        <w:t>STAFF ANALYSIS</w:t>
      </w:r>
    </w:p>
    <w:p w14:paraId="30C044FC" w14:textId="77777777" w:rsidR="00FB6494" w:rsidRDefault="00FB6494" w:rsidP="00FB6494">
      <w:pPr>
        <w:pStyle w:val="NoSpacing"/>
        <w:rPr>
          <w:b/>
          <w:sz w:val="24"/>
          <w:u w:val="single"/>
        </w:rPr>
      </w:pPr>
    </w:p>
    <w:p w14:paraId="5B2355BB" w14:textId="542AD382" w:rsidR="00FB6494" w:rsidRDefault="005E11D5" w:rsidP="00FB6494">
      <w:pPr>
        <w:pStyle w:val="NoSpacing"/>
        <w:rPr>
          <w:sz w:val="24"/>
        </w:rPr>
      </w:pPr>
      <w:r>
        <w:rPr>
          <w:sz w:val="24"/>
        </w:rPr>
        <w:t xml:space="preserve">The </w:t>
      </w:r>
      <w:r w:rsidR="00883188">
        <w:rPr>
          <w:sz w:val="24"/>
        </w:rPr>
        <w:t xml:space="preserve">instruction by </w:t>
      </w:r>
      <w:r>
        <w:rPr>
          <w:sz w:val="24"/>
        </w:rPr>
        <w:t>University</w:t>
      </w:r>
      <w:r w:rsidR="00883188">
        <w:rPr>
          <w:sz w:val="24"/>
        </w:rPr>
        <w:t xml:space="preserve"> of Arizona Global Campus</w:t>
      </w:r>
      <w:r w:rsidR="0085460F">
        <w:rPr>
          <w:sz w:val="24"/>
        </w:rPr>
        <w:t xml:space="preserve"> is provided entirely </w:t>
      </w:r>
      <w:r w:rsidR="00DE324E">
        <w:rPr>
          <w:sz w:val="24"/>
        </w:rPr>
        <w:t xml:space="preserve">asynchronously </w:t>
      </w:r>
      <w:r w:rsidR="0085460F">
        <w:rPr>
          <w:sz w:val="24"/>
        </w:rPr>
        <w:t>via distance education</w:t>
      </w:r>
      <w:r w:rsidR="00570E67">
        <w:rPr>
          <w:sz w:val="24"/>
        </w:rPr>
        <w:t xml:space="preserve"> a multitude of Bachelor and Master level degree programs. </w:t>
      </w:r>
      <w:r w:rsidR="00254F45">
        <w:rPr>
          <w:sz w:val="24"/>
        </w:rPr>
        <w:t xml:space="preserve">The Statement of Accreditation lists </w:t>
      </w:r>
      <w:r w:rsidR="00984B6B">
        <w:rPr>
          <w:sz w:val="24"/>
        </w:rPr>
        <w:t>one main campus in San Diego, California.</w:t>
      </w:r>
      <w:r w:rsidR="00254F45">
        <w:rPr>
          <w:sz w:val="24"/>
        </w:rPr>
        <w:t xml:space="preserve"> </w:t>
      </w:r>
    </w:p>
    <w:p w14:paraId="759CCD22" w14:textId="77777777" w:rsidR="00254F45" w:rsidRDefault="00254F45" w:rsidP="00FB6494">
      <w:pPr>
        <w:pStyle w:val="NoSpacing"/>
        <w:rPr>
          <w:sz w:val="24"/>
        </w:rPr>
      </w:pPr>
    </w:p>
    <w:p w14:paraId="768E941E" w14:textId="5AAF6AD9" w:rsidR="00ED6B6E" w:rsidRDefault="001F527A" w:rsidP="00ED6B6E">
      <w:pPr>
        <w:pStyle w:val="NoSpacing"/>
        <w:rPr>
          <w:sz w:val="24"/>
        </w:rPr>
      </w:pPr>
      <w:r>
        <w:rPr>
          <w:sz w:val="24"/>
        </w:rPr>
        <w:t>An</w:t>
      </w:r>
      <w:r w:rsidR="00ED6B6E">
        <w:rPr>
          <w:sz w:val="24"/>
        </w:rPr>
        <w:t xml:space="preserve"> administrative office in Denver</w:t>
      </w:r>
      <w:r>
        <w:rPr>
          <w:sz w:val="24"/>
        </w:rPr>
        <w:t xml:space="preserve"> </w:t>
      </w:r>
      <w:r w:rsidR="00ED6B6E">
        <w:rPr>
          <w:sz w:val="24"/>
        </w:rPr>
        <w:t>houses</w:t>
      </w:r>
      <w:r w:rsidR="009A6E4A">
        <w:rPr>
          <w:sz w:val="24"/>
        </w:rPr>
        <w:t xml:space="preserve"> staff </w:t>
      </w:r>
      <w:r w:rsidR="001A6159">
        <w:rPr>
          <w:sz w:val="24"/>
        </w:rPr>
        <w:t>who serve in student support roles</w:t>
      </w:r>
      <w:r>
        <w:rPr>
          <w:sz w:val="24"/>
        </w:rPr>
        <w:t xml:space="preserve"> for the UAGC</w:t>
      </w:r>
      <w:r w:rsidR="001A6159">
        <w:rPr>
          <w:sz w:val="24"/>
        </w:rPr>
        <w:t xml:space="preserve">. Under </w:t>
      </w:r>
      <w:r>
        <w:rPr>
          <w:sz w:val="24"/>
        </w:rPr>
        <w:t>this</w:t>
      </w:r>
      <w:r w:rsidR="001A6159">
        <w:rPr>
          <w:sz w:val="24"/>
        </w:rPr>
        <w:t xml:space="preserve"> </w:t>
      </w:r>
      <w:r w:rsidR="00531C2C">
        <w:rPr>
          <w:sz w:val="24"/>
        </w:rPr>
        <w:t>shared services agreement</w:t>
      </w:r>
      <w:r w:rsidR="007A75E9">
        <w:rPr>
          <w:sz w:val="24"/>
        </w:rPr>
        <w:t xml:space="preserve">, staff in Enrollment and Student Services support </w:t>
      </w:r>
      <w:r>
        <w:rPr>
          <w:sz w:val="24"/>
        </w:rPr>
        <w:t>UAGC’s</w:t>
      </w:r>
      <w:r w:rsidR="007A75E9">
        <w:rPr>
          <w:sz w:val="24"/>
        </w:rPr>
        <w:t xml:space="preserve"> prospective and current online students from the Denver site. </w:t>
      </w:r>
      <w:r w:rsidR="00570E67">
        <w:rPr>
          <w:sz w:val="24"/>
        </w:rPr>
        <w:t xml:space="preserve">The onsite employees support </w:t>
      </w:r>
      <w:r>
        <w:rPr>
          <w:sz w:val="24"/>
        </w:rPr>
        <w:t>UAGC</w:t>
      </w:r>
      <w:r w:rsidR="00570E67">
        <w:rPr>
          <w:sz w:val="24"/>
        </w:rPr>
        <w:t xml:space="preserve"> by providing services such as student inquiry and enrollment services, student support services (</w:t>
      </w:r>
      <w:proofErr w:type="gramStart"/>
      <w:r w:rsidR="00570E67">
        <w:rPr>
          <w:sz w:val="24"/>
        </w:rPr>
        <w:t>e.g.</w:t>
      </w:r>
      <w:proofErr w:type="gramEnd"/>
      <w:r w:rsidR="00570E67">
        <w:rPr>
          <w:sz w:val="24"/>
        </w:rPr>
        <w:t xml:space="preserve"> student advising and academic advising) financial services, human resources, business technology, and learning and development (e.g. instructional design). </w:t>
      </w:r>
    </w:p>
    <w:p w14:paraId="56D54413" w14:textId="77777777" w:rsidR="00570E67" w:rsidRDefault="00570E67" w:rsidP="00ED6B6E">
      <w:pPr>
        <w:pStyle w:val="NoSpacing"/>
        <w:rPr>
          <w:sz w:val="24"/>
        </w:rPr>
      </w:pPr>
    </w:p>
    <w:p w14:paraId="5611EDBE" w14:textId="6B88DBE1" w:rsidR="00B10E84" w:rsidRDefault="001F527A" w:rsidP="00ED6B6E">
      <w:pPr>
        <w:pStyle w:val="NoSpacing"/>
        <w:rPr>
          <w:sz w:val="24"/>
        </w:rPr>
      </w:pPr>
      <w:r>
        <w:rPr>
          <w:sz w:val="24"/>
        </w:rPr>
        <w:t xml:space="preserve">The University of Arizona Global Campus </w:t>
      </w:r>
      <w:r w:rsidR="00B10E84">
        <w:rPr>
          <w:sz w:val="24"/>
        </w:rPr>
        <w:t xml:space="preserve">continues to meet the requirements of the </w:t>
      </w:r>
      <w:r w:rsidR="004918B0">
        <w:rPr>
          <w:sz w:val="24"/>
        </w:rPr>
        <w:t xml:space="preserve">Place of Business (with no instruction) authorization. </w:t>
      </w:r>
    </w:p>
    <w:p w14:paraId="08DA7CBA" w14:textId="77777777" w:rsidR="00FB6494" w:rsidRPr="00FB6494" w:rsidRDefault="00FB6494" w:rsidP="00FB6494">
      <w:pPr>
        <w:pStyle w:val="NoSpacing"/>
        <w:rPr>
          <w:sz w:val="24"/>
        </w:rPr>
      </w:pPr>
    </w:p>
    <w:p w14:paraId="40EF91DC" w14:textId="77777777" w:rsidR="00FB6494" w:rsidRDefault="00FB6494" w:rsidP="00FB6494">
      <w:pPr>
        <w:pStyle w:val="NoSpacing"/>
        <w:numPr>
          <w:ilvl w:val="0"/>
          <w:numId w:val="47"/>
        </w:numPr>
        <w:ind w:left="540" w:hanging="540"/>
        <w:rPr>
          <w:b/>
          <w:sz w:val="24"/>
          <w:u w:val="single"/>
        </w:rPr>
      </w:pPr>
      <w:r>
        <w:rPr>
          <w:b/>
          <w:sz w:val="24"/>
          <w:u w:val="single"/>
        </w:rPr>
        <w:t>STAFF RECOMMENDATIONS</w:t>
      </w:r>
    </w:p>
    <w:p w14:paraId="41BB77CB" w14:textId="77777777" w:rsidR="00FB6494" w:rsidRDefault="00FB6494" w:rsidP="00FB6494">
      <w:pPr>
        <w:pStyle w:val="NoSpacing"/>
        <w:rPr>
          <w:b/>
          <w:sz w:val="24"/>
          <w:u w:val="single"/>
        </w:rPr>
      </w:pPr>
    </w:p>
    <w:p w14:paraId="4FEF7C8A" w14:textId="03E9660A" w:rsidR="00FB6494" w:rsidRPr="004918B0" w:rsidRDefault="00FB6494" w:rsidP="00FB6494">
      <w:pPr>
        <w:pStyle w:val="NoSpacing"/>
        <w:rPr>
          <w:b/>
          <w:sz w:val="24"/>
        </w:rPr>
      </w:pPr>
      <w:r w:rsidRPr="004918B0">
        <w:rPr>
          <w:b/>
          <w:sz w:val="24"/>
        </w:rPr>
        <w:t xml:space="preserve">Staff </w:t>
      </w:r>
      <w:r w:rsidR="004918B0" w:rsidRPr="004918B0">
        <w:rPr>
          <w:b/>
          <w:sz w:val="24"/>
        </w:rPr>
        <w:t xml:space="preserve">recommends </w:t>
      </w:r>
      <w:r w:rsidR="004918B0">
        <w:rPr>
          <w:b/>
          <w:sz w:val="24"/>
        </w:rPr>
        <w:t xml:space="preserve">the Commission approve the renewal of authorization for </w:t>
      </w:r>
      <w:r w:rsidR="001F527A">
        <w:rPr>
          <w:b/>
          <w:sz w:val="24"/>
        </w:rPr>
        <w:t>the University of Arizona Global Campus</w:t>
      </w:r>
      <w:r w:rsidR="004918B0">
        <w:rPr>
          <w:b/>
          <w:sz w:val="24"/>
        </w:rPr>
        <w:t xml:space="preserve"> as a Place of Business (with no instruction).</w:t>
      </w:r>
    </w:p>
    <w:p w14:paraId="31899326" w14:textId="77777777" w:rsidR="00FB6494" w:rsidRPr="00FB6494" w:rsidRDefault="00FB6494" w:rsidP="00FB6494">
      <w:pPr>
        <w:pStyle w:val="NoSpacing"/>
        <w:rPr>
          <w:b/>
          <w:sz w:val="24"/>
        </w:rPr>
      </w:pPr>
    </w:p>
    <w:p w14:paraId="05DEEA8E" w14:textId="77777777" w:rsidR="00FB6494" w:rsidRDefault="00FB6494" w:rsidP="00FB6494">
      <w:pPr>
        <w:pStyle w:val="NoSpacing"/>
        <w:numPr>
          <w:ilvl w:val="0"/>
          <w:numId w:val="47"/>
        </w:numPr>
        <w:ind w:left="540" w:hanging="540"/>
        <w:rPr>
          <w:b/>
          <w:sz w:val="24"/>
          <w:u w:val="single"/>
        </w:rPr>
      </w:pPr>
      <w:r>
        <w:rPr>
          <w:b/>
          <w:sz w:val="24"/>
          <w:u w:val="single"/>
        </w:rPr>
        <w:t>STATUTORY AUTHORITY</w:t>
      </w:r>
    </w:p>
    <w:p w14:paraId="53D90394" w14:textId="77777777" w:rsidR="00FB6494" w:rsidRDefault="00FB6494" w:rsidP="00FB6494">
      <w:pPr>
        <w:pStyle w:val="NoSpacing"/>
        <w:rPr>
          <w:b/>
          <w:sz w:val="24"/>
          <w:u w:val="single"/>
        </w:rPr>
      </w:pPr>
    </w:p>
    <w:p w14:paraId="476B353C" w14:textId="77777777" w:rsidR="007A75E9" w:rsidRPr="00EF093C" w:rsidRDefault="007A75E9" w:rsidP="007A75E9">
      <w:pPr>
        <w:jc w:val="both"/>
        <w:rPr>
          <w:sz w:val="24"/>
        </w:rPr>
      </w:pPr>
      <w:r>
        <w:rPr>
          <w:sz w:val="24"/>
        </w:rPr>
        <w:t xml:space="preserve">C.R.S </w:t>
      </w:r>
      <w:r w:rsidRPr="00EF093C">
        <w:rPr>
          <w:sz w:val="24"/>
        </w:rPr>
        <w:t xml:space="preserve">§23-2-103.3(5)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Pr="00EF093C">
          <w:rPr>
            <w:rStyle w:val="Hyperlink"/>
            <w:color w:val="auto"/>
            <w:sz w:val="24"/>
            <w:u w:val="none"/>
          </w:rPr>
          <w:t>section 23-2-104.5</w:t>
        </w:r>
      </w:hyperlink>
      <w:r w:rsidRPr="00EF093C">
        <w:rPr>
          <w:sz w:val="24"/>
        </w:rPr>
        <w:t>.</w:t>
      </w:r>
    </w:p>
    <w:p w14:paraId="76E60AEC" w14:textId="77777777" w:rsidR="00FB6494" w:rsidRDefault="00FB6494" w:rsidP="00FB6494">
      <w:pPr>
        <w:pStyle w:val="NoSpacing"/>
        <w:ind w:left="720"/>
        <w:rPr>
          <w:b/>
          <w:sz w:val="24"/>
          <w:u w:val="single"/>
        </w:rPr>
      </w:pPr>
    </w:p>
    <w:p w14:paraId="723DEE8D" w14:textId="77777777" w:rsidR="006E09E9" w:rsidRPr="00DF1E25" w:rsidRDefault="006E09E9" w:rsidP="00773EDF">
      <w:pPr>
        <w:pStyle w:val="NoSpacing"/>
        <w:rPr>
          <w:sz w:val="24"/>
        </w:rPr>
      </w:pPr>
    </w:p>
    <w:p w14:paraId="4CF589F0" w14:textId="77777777" w:rsidR="00DF1E25" w:rsidRPr="00DF1E25" w:rsidRDefault="00DF1E25" w:rsidP="00773EDF">
      <w:pPr>
        <w:pStyle w:val="NoSpacing"/>
        <w:rPr>
          <w:sz w:val="24"/>
        </w:rPr>
      </w:pPr>
    </w:p>
    <w:sectPr w:rsidR="00DF1E25" w:rsidRPr="00DF1E25"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756C" w14:textId="77777777" w:rsidR="00630958" w:rsidRDefault="00630958">
      <w:r>
        <w:separator/>
      </w:r>
    </w:p>
  </w:endnote>
  <w:endnote w:type="continuationSeparator" w:id="0">
    <w:p w14:paraId="47E95455" w14:textId="77777777" w:rsidR="00630958" w:rsidRDefault="006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99A1" w14:textId="77777777" w:rsidR="00630958" w:rsidRDefault="00630958">
      <w:r>
        <w:separator/>
      </w:r>
    </w:p>
  </w:footnote>
  <w:footnote w:type="continuationSeparator" w:id="0">
    <w:p w14:paraId="3CBB5E20" w14:textId="77777777" w:rsidR="00630958" w:rsidRDefault="006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5"/>
      <w:gridCol w:w="3255"/>
    </w:tblGrid>
    <w:tr w:rsidR="006E09E9" w:rsidRPr="0070065C" w14:paraId="2C6EC681" w14:textId="77777777" w:rsidTr="006E09E9">
      <w:tc>
        <w:tcPr>
          <w:tcW w:w="6228" w:type="dxa"/>
        </w:tcPr>
        <w:p w14:paraId="276CF9CF" w14:textId="77777777" w:rsidR="006E09E9" w:rsidRPr="0070065C" w:rsidRDefault="006E09E9"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1AB83313" w14:textId="2482DACA" w:rsidR="006E09E9" w:rsidRPr="0070065C" w:rsidRDefault="00DE324E" w:rsidP="00DF1E25">
          <w:pPr>
            <w:pStyle w:val="Header"/>
            <w:tabs>
              <w:tab w:val="clear" w:pos="8640"/>
              <w:tab w:val="left" w:pos="4320"/>
            </w:tabs>
            <w:rPr>
              <w:sz w:val="24"/>
            </w:rPr>
          </w:pPr>
          <w:r>
            <w:rPr>
              <w:sz w:val="24"/>
            </w:rPr>
            <w:t xml:space="preserve">March 4, </w:t>
          </w:r>
          <w:proofErr w:type="gramStart"/>
          <w:r>
            <w:rPr>
              <w:sz w:val="24"/>
            </w:rPr>
            <w:t>2022</w:t>
          </w:r>
          <w:proofErr w:type="gramEnd"/>
          <w:r w:rsidR="00DF1E25" w:rsidRPr="0070065C">
            <w:rPr>
              <w:sz w:val="24"/>
            </w:rPr>
            <w:tab/>
          </w:r>
        </w:p>
      </w:tc>
      <w:tc>
        <w:tcPr>
          <w:tcW w:w="3348" w:type="dxa"/>
        </w:tcPr>
        <w:p w14:paraId="278C0E36" w14:textId="5F78B553" w:rsidR="006E09E9" w:rsidRPr="0070065C" w:rsidRDefault="006E09E9" w:rsidP="006E09E9">
          <w:pPr>
            <w:pStyle w:val="Header"/>
            <w:tabs>
              <w:tab w:val="clear" w:pos="8640"/>
              <w:tab w:val="right" w:pos="9360"/>
            </w:tabs>
            <w:jc w:val="right"/>
            <w:rPr>
              <w:sz w:val="24"/>
            </w:rPr>
          </w:pPr>
          <w:r w:rsidRPr="0070065C">
            <w:rPr>
              <w:sz w:val="24"/>
            </w:rPr>
            <w:t>Agenda Item I</w:t>
          </w:r>
          <w:r w:rsidR="00D006F9" w:rsidRPr="0070065C">
            <w:rPr>
              <w:sz w:val="24"/>
            </w:rPr>
            <w:t>I</w:t>
          </w:r>
          <w:r w:rsidRPr="0070065C">
            <w:rPr>
              <w:sz w:val="24"/>
            </w:rPr>
            <w:t xml:space="preserve">, </w:t>
          </w:r>
          <w:r w:rsidR="00372DAD">
            <w:rPr>
              <w:sz w:val="24"/>
            </w:rPr>
            <w:t>C</w:t>
          </w:r>
        </w:p>
        <w:p w14:paraId="4309EAD5" w14:textId="77777777" w:rsidR="006E09E9" w:rsidRPr="0070065C" w:rsidRDefault="006E09E9" w:rsidP="006E09E9">
          <w:pPr>
            <w:pStyle w:val="Header"/>
            <w:tabs>
              <w:tab w:val="clear" w:pos="8640"/>
              <w:tab w:val="right" w:pos="9360"/>
            </w:tabs>
            <w:jc w:val="right"/>
            <w:rPr>
              <w:rStyle w:val="PageNumber"/>
              <w:sz w:val="24"/>
            </w:rPr>
          </w:pPr>
          <w:r w:rsidRPr="0070065C">
            <w:rPr>
              <w:rStyle w:val="PageNumber"/>
              <w:sz w:val="24"/>
            </w:rPr>
            <w:t xml:space="preserve">Page </w:t>
          </w:r>
          <w:r w:rsidR="00FA468C" w:rsidRPr="0070065C">
            <w:rPr>
              <w:rStyle w:val="PageNumber"/>
              <w:sz w:val="24"/>
            </w:rPr>
            <w:fldChar w:fldCharType="begin"/>
          </w:r>
          <w:r w:rsidRPr="0070065C">
            <w:rPr>
              <w:rStyle w:val="PageNumber"/>
              <w:sz w:val="24"/>
            </w:rPr>
            <w:instrText xml:space="preserve"> PAGE </w:instrText>
          </w:r>
          <w:r w:rsidR="00FA468C" w:rsidRPr="0070065C">
            <w:rPr>
              <w:rStyle w:val="PageNumber"/>
              <w:sz w:val="24"/>
            </w:rPr>
            <w:fldChar w:fldCharType="separate"/>
          </w:r>
          <w:r w:rsidR="00C73B04">
            <w:rPr>
              <w:rStyle w:val="PageNumber"/>
              <w:noProof/>
              <w:sz w:val="24"/>
            </w:rPr>
            <w:t>1</w:t>
          </w:r>
          <w:r w:rsidR="00FA468C" w:rsidRPr="0070065C">
            <w:rPr>
              <w:rStyle w:val="PageNumber"/>
              <w:sz w:val="24"/>
            </w:rPr>
            <w:fldChar w:fldCharType="end"/>
          </w:r>
          <w:r w:rsidRPr="0070065C">
            <w:rPr>
              <w:rStyle w:val="PageNumber"/>
              <w:sz w:val="24"/>
            </w:rPr>
            <w:t xml:space="preserve"> of </w:t>
          </w:r>
          <w:r w:rsidR="00FA468C" w:rsidRPr="0070065C">
            <w:rPr>
              <w:rStyle w:val="PageNumber"/>
              <w:sz w:val="24"/>
            </w:rPr>
            <w:fldChar w:fldCharType="begin"/>
          </w:r>
          <w:r w:rsidRPr="0070065C">
            <w:rPr>
              <w:rStyle w:val="PageNumber"/>
              <w:sz w:val="24"/>
            </w:rPr>
            <w:instrText xml:space="preserve"> NUMPAGES </w:instrText>
          </w:r>
          <w:r w:rsidR="00FA468C" w:rsidRPr="0070065C">
            <w:rPr>
              <w:rStyle w:val="PageNumber"/>
              <w:sz w:val="24"/>
            </w:rPr>
            <w:fldChar w:fldCharType="separate"/>
          </w:r>
          <w:r w:rsidR="00C73B04">
            <w:rPr>
              <w:rStyle w:val="PageNumber"/>
              <w:noProof/>
              <w:sz w:val="24"/>
            </w:rPr>
            <w:t>1</w:t>
          </w:r>
          <w:r w:rsidR="00FA468C" w:rsidRPr="0070065C">
            <w:rPr>
              <w:rStyle w:val="PageNumber"/>
              <w:sz w:val="24"/>
            </w:rPr>
            <w:fldChar w:fldCharType="end"/>
          </w:r>
        </w:p>
        <w:p w14:paraId="6E82D693" w14:textId="77777777" w:rsidR="006E09E9" w:rsidRPr="0070065C" w:rsidRDefault="007A75E9" w:rsidP="006E09E9">
          <w:pPr>
            <w:pStyle w:val="Header"/>
            <w:tabs>
              <w:tab w:val="clear" w:pos="8640"/>
              <w:tab w:val="right" w:pos="9360"/>
            </w:tabs>
            <w:jc w:val="right"/>
            <w:rPr>
              <w:sz w:val="24"/>
            </w:rPr>
          </w:pPr>
          <w:r>
            <w:rPr>
              <w:rStyle w:val="PageNumber"/>
              <w:sz w:val="24"/>
              <w:u w:val="single"/>
            </w:rPr>
            <w:t>Consent</w:t>
          </w:r>
          <w:r w:rsidR="006E09E9" w:rsidRPr="0070065C">
            <w:rPr>
              <w:rStyle w:val="PageNumber"/>
              <w:sz w:val="24"/>
              <w:u w:val="single"/>
            </w:rPr>
            <w:t xml:space="preserve"> Item</w:t>
          </w:r>
        </w:p>
      </w:tc>
    </w:tr>
  </w:tbl>
  <w:p w14:paraId="30C21B81" w14:textId="77777777" w:rsidR="00883FA1" w:rsidRPr="0070065C" w:rsidRDefault="00883FA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E7338C7"/>
    <w:multiLevelType w:val="hybridMultilevel"/>
    <w:tmpl w:val="D60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5"/>
  </w:num>
  <w:num w:numId="4">
    <w:abstractNumId w:val="28"/>
  </w:num>
  <w:num w:numId="5">
    <w:abstractNumId w:val="45"/>
  </w:num>
  <w:num w:numId="6">
    <w:abstractNumId w:val="44"/>
  </w:num>
  <w:num w:numId="7">
    <w:abstractNumId w:val="23"/>
  </w:num>
  <w:num w:numId="8">
    <w:abstractNumId w:val="9"/>
  </w:num>
  <w:num w:numId="9">
    <w:abstractNumId w:val="8"/>
  </w:num>
  <w:num w:numId="10">
    <w:abstractNumId w:val="34"/>
  </w:num>
  <w:num w:numId="11">
    <w:abstractNumId w:val="4"/>
  </w:num>
  <w:num w:numId="12">
    <w:abstractNumId w:val="38"/>
  </w:num>
  <w:num w:numId="13">
    <w:abstractNumId w:val="16"/>
  </w:num>
  <w:num w:numId="14">
    <w:abstractNumId w:val="15"/>
  </w:num>
  <w:num w:numId="15">
    <w:abstractNumId w:val="42"/>
  </w:num>
  <w:num w:numId="16">
    <w:abstractNumId w:val="27"/>
  </w:num>
  <w:num w:numId="17">
    <w:abstractNumId w:val="30"/>
  </w:num>
  <w:num w:numId="18">
    <w:abstractNumId w:val="31"/>
  </w:num>
  <w:num w:numId="19">
    <w:abstractNumId w:val="40"/>
  </w:num>
  <w:num w:numId="20">
    <w:abstractNumId w:val="22"/>
  </w:num>
  <w:num w:numId="21">
    <w:abstractNumId w:val="14"/>
  </w:num>
  <w:num w:numId="22">
    <w:abstractNumId w:val="18"/>
  </w:num>
  <w:num w:numId="23">
    <w:abstractNumId w:val="20"/>
  </w:num>
  <w:num w:numId="24">
    <w:abstractNumId w:val="29"/>
  </w:num>
  <w:num w:numId="25">
    <w:abstractNumId w:val="24"/>
  </w:num>
  <w:num w:numId="26">
    <w:abstractNumId w:val="46"/>
  </w:num>
  <w:num w:numId="27">
    <w:abstractNumId w:val="1"/>
  </w:num>
  <w:num w:numId="28">
    <w:abstractNumId w:val="3"/>
  </w:num>
  <w:num w:numId="29">
    <w:abstractNumId w:val="13"/>
  </w:num>
  <w:num w:numId="30">
    <w:abstractNumId w:val="12"/>
  </w:num>
  <w:num w:numId="31">
    <w:abstractNumId w:val="11"/>
  </w:num>
  <w:num w:numId="32">
    <w:abstractNumId w:val="26"/>
  </w:num>
  <w:num w:numId="33">
    <w:abstractNumId w:val="21"/>
  </w:num>
  <w:num w:numId="34">
    <w:abstractNumId w:val="0"/>
  </w:num>
  <w:num w:numId="35">
    <w:abstractNumId w:val="17"/>
  </w:num>
  <w:num w:numId="36">
    <w:abstractNumId w:val="10"/>
  </w:num>
  <w:num w:numId="37">
    <w:abstractNumId w:val="35"/>
  </w:num>
  <w:num w:numId="38">
    <w:abstractNumId w:val="7"/>
  </w:num>
  <w:num w:numId="39">
    <w:abstractNumId w:val="39"/>
  </w:num>
  <w:num w:numId="40">
    <w:abstractNumId w:val="32"/>
  </w:num>
  <w:num w:numId="41">
    <w:abstractNumId w:val="2"/>
  </w:num>
  <w:num w:numId="42">
    <w:abstractNumId w:val="43"/>
  </w:num>
  <w:num w:numId="43">
    <w:abstractNumId w:val="37"/>
  </w:num>
  <w:num w:numId="44">
    <w:abstractNumId w:val="47"/>
  </w:num>
  <w:num w:numId="45">
    <w:abstractNumId w:val="5"/>
  </w:num>
  <w:num w:numId="46">
    <w:abstractNumId w:val="41"/>
  </w:num>
  <w:num w:numId="47">
    <w:abstractNumId w:val="1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50D80"/>
    <w:rsid w:val="0006093A"/>
    <w:rsid w:val="00060EEA"/>
    <w:rsid w:val="00061F71"/>
    <w:rsid w:val="00070B3B"/>
    <w:rsid w:val="00076EE3"/>
    <w:rsid w:val="00092664"/>
    <w:rsid w:val="0009493D"/>
    <w:rsid w:val="00097FB2"/>
    <w:rsid w:val="000B305A"/>
    <w:rsid w:val="000C15A4"/>
    <w:rsid w:val="000C5698"/>
    <w:rsid w:val="000D0D9A"/>
    <w:rsid w:val="000D2F1B"/>
    <w:rsid w:val="000E1248"/>
    <w:rsid w:val="000F0BBD"/>
    <w:rsid w:val="000F42CE"/>
    <w:rsid w:val="00101888"/>
    <w:rsid w:val="001051B9"/>
    <w:rsid w:val="00106263"/>
    <w:rsid w:val="001200E3"/>
    <w:rsid w:val="00124F24"/>
    <w:rsid w:val="00132466"/>
    <w:rsid w:val="00132D2C"/>
    <w:rsid w:val="00147BC2"/>
    <w:rsid w:val="0015631F"/>
    <w:rsid w:val="001567C8"/>
    <w:rsid w:val="0016043F"/>
    <w:rsid w:val="001647B8"/>
    <w:rsid w:val="0019296E"/>
    <w:rsid w:val="001A6159"/>
    <w:rsid w:val="001B0DB0"/>
    <w:rsid w:val="001B22F3"/>
    <w:rsid w:val="001B3A22"/>
    <w:rsid w:val="001B4476"/>
    <w:rsid w:val="001B5CF5"/>
    <w:rsid w:val="001C7E78"/>
    <w:rsid w:val="001D1903"/>
    <w:rsid w:val="001E51FE"/>
    <w:rsid w:val="001E5FA1"/>
    <w:rsid w:val="001F527A"/>
    <w:rsid w:val="00203D9F"/>
    <w:rsid w:val="002118C4"/>
    <w:rsid w:val="00211E87"/>
    <w:rsid w:val="002137A6"/>
    <w:rsid w:val="002149B6"/>
    <w:rsid w:val="00215627"/>
    <w:rsid w:val="00216B2E"/>
    <w:rsid w:val="00221049"/>
    <w:rsid w:val="0022295A"/>
    <w:rsid w:val="0023725B"/>
    <w:rsid w:val="00237655"/>
    <w:rsid w:val="0024243D"/>
    <w:rsid w:val="00250162"/>
    <w:rsid w:val="0025392B"/>
    <w:rsid w:val="00254F45"/>
    <w:rsid w:val="00265D7F"/>
    <w:rsid w:val="00285299"/>
    <w:rsid w:val="00290AA6"/>
    <w:rsid w:val="00295639"/>
    <w:rsid w:val="002A0220"/>
    <w:rsid w:val="002A751A"/>
    <w:rsid w:val="002C0AEE"/>
    <w:rsid w:val="002D435B"/>
    <w:rsid w:val="002D69CD"/>
    <w:rsid w:val="0030081D"/>
    <w:rsid w:val="003011E0"/>
    <w:rsid w:val="00303291"/>
    <w:rsid w:val="0030665E"/>
    <w:rsid w:val="003132B3"/>
    <w:rsid w:val="0031476D"/>
    <w:rsid w:val="00322FFB"/>
    <w:rsid w:val="00337D4E"/>
    <w:rsid w:val="00341CA8"/>
    <w:rsid w:val="0036667C"/>
    <w:rsid w:val="003729F5"/>
    <w:rsid w:val="00372DAD"/>
    <w:rsid w:val="003811EF"/>
    <w:rsid w:val="00383DAA"/>
    <w:rsid w:val="00391CBC"/>
    <w:rsid w:val="00391DED"/>
    <w:rsid w:val="003932EF"/>
    <w:rsid w:val="003A1535"/>
    <w:rsid w:val="003B0884"/>
    <w:rsid w:val="003C0E3A"/>
    <w:rsid w:val="003C54A6"/>
    <w:rsid w:val="003C7349"/>
    <w:rsid w:val="003E156A"/>
    <w:rsid w:val="003E5889"/>
    <w:rsid w:val="004001DB"/>
    <w:rsid w:val="0040346E"/>
    <w:rsid w:val="004106A5"/>
    <w:rsid w:val="00425417"/>
    <w:rsid w:val="00427275"/>
    <w:rsid w:val="004344A5"/>
    <w:rsid w:val="00444A2E"/>
    <w:rsid w:val="00454641"/>
    <w:rsid w:val="00456CFD"/>
    <w:rsid w:val="00461E46"/>
    <w:rsid w:val="0046309C"/>
    <w:rsid w:val="0046424A"/>
    <w:rsid w:val="00467A0A"/>
    <w:rsid w:val="00471135"/>
    <w:rsid w:val="00471496"/>
    <w:rsid w:val="00472D96"/>
    <w:rsid w:val="00480FDF"/>
    <w:rsid w:val="00485492"/>
    <w:rsid w:val="004918B0"/>
    <w:rsid w:val="004A6052"/>
    <w:rsid w:val="004B1F98"/>
    <w:rsid w:val="004B2514"/>
    <w:rsid w:val="004C452E"/>
    <w:rsid w:val="004D3E00"/>
    <w:rsid w:val="004E48F5"/>
    <w:rsid w:val="004F231A"/>
    <w:rsid w:val="004F547F"/>
    <w:rsid w:val="004F7530"/>
    <w:rsid w:val="00504208"/>
    <w:rsid w:val="005052C3"/>
    <w:rsid w:val="005174EA"/>
    <w:rsid w:val="00531C2C"/>
    <w:rsid w:val="00533E5A"/>
    <w:rsid w:val="005408E7"/>
    <w:rsid w:val="00542069"/>
    <w:rsid w:val="00544FE5"/>
    <w:rsid w:val="005454D6"/>
    <w:rsid w:val="00556465"/>
    <w:rsid w:val="0056256E"/>
    <w:rsid w:val="00566A39"/>
    <w:rsid w:val="00570E67"/>
    <w:rsid w:val="00571946"/>
    <w:rsid w:val="0059004D"/>
    <w:rsid w:val="00592876"/>
    <w:rsid w:val="00597638"/>
    <w:rsid w:val="00597D47"/>
    <w:rsid w:val="005A3C96"/>
    <w:rsid w:val="005B1CAF"/>
    <w:rsid w:val="005B49A4"/>
    <w:rsid w:val="005B74D3"/>
    <w:rsid w:val="005C24B1"/>
    <w:rsid w:val="005C3414"/>
    <w:rsid w:val="005C42DC"/>
    <w:rsid w:val="005C56F2"/>
    <w:rsid w:val="005C7D9C"/>
    <w:rsid w:val="005D07F0"/>
    <w:rsid w:val="005D32F9"/>
    <w:rsid w:val="005D39C3"/>
    <w:rsid w:val="005E11D5"/>
    <w:rsid w:val="005E461F"/>
    <w:rsid w:val="005E6C55"/>
    <w:rsid w:val="00611247"/>
    <w:rsid w:val="00613BA7"/>
    <w:rsid w:val="006144DD"/>
    <w:rsid w:val="00616908"/>
    <w:rsid w:val="006177E0"/>
    <w:rsid w:val="006214AA"/>
    <w:rsid w:val="00630958"/>
    <w:rsid w:val="00641F49"/>
    <w:rsid w:val="00653383"/>
    <w:rsid w:val="00657E00"/>
    <w:rsid w:val="00667ED2"/>
    <w:rsid w:val="00670728"/>
    <w:rsid w:val="006708D5"/>
    <w:rsid w:val="00676FC2"/>
    <w:rsid w:val="006813E1"/>
    <w:rsid w:val="00684982"/>
    <w:rsid w:val="0068706E"/>
    <w:rsid w:val="006A41C6"/>
    <w:rsid w:val="006A630D"/>
    <w:rsid w:val="006C4577"/>
    <w:rsid w:val="006C7B23"/>
    <w:rsid w:val="006D0E5B"/>
    <w:rsid w:val="006E09E9"/>
    <w:rsid w:val="006F629E"/>
    <w:rsid w:val="0070065C"/>
    <w:rsid w:val="00702C52"/>
    <w:rsid w:val="0070705F"/>
    <w:rsid w:val="00717DF6"/>
    <w:rsid w:val="007277A5"/>
    <w:rsid w:val="00743626"/>
    <w:rsid w:val="007530F6"/>
    <w:rsid w:val="00755BE7"/>
    <w:rsid w:val="00762127"/>
    <w:rsid w:val="00763CAE"/>
    <w:rsid w:val="007719D2"/>
    <w:rsid w:val="00773EDF"/>
    <w:rsid w:val="00784E93"/>
    <w:rsid w:val="007A75E9"/>
    <w:rsid w:val="007A776B"/>
    <w:rsid w:val="007C29F8"/>
    <w:rsid w:val="007C7130"/>
    <w:rsid w:val="007C7C2A"/>
    <w:rsid w:val="007D0655"/>
    <w:rsid w:val="007F0D6E"/>
    <w:rsid w:val="007F3EF9"/>
    <w:rsid w:val="008000ED"/>
    <w:rsid w:val="00802AEB"/>
    <w:rsid w:val="008039BE"/>
    <w:rsid w:val="0080753C"/>
    <w:rsid w:val="00812E7C"/>
    <w:rsid w:val="00820E1A"/>
    <w:rsid w:val="00821C53"/>
    <w:rsid w:val="00823058"/>
    <w:rsid w:val="008432AE"/>
    <w:rsid w:val="0084405F"/>
    <w:rsid w:val="0085460F"/>
    <w:rsid w:val="00860525"/>
    <w:rsid w:val="00864E4E"/>
    <w:rsid w:val="00873447"/>
    <w:rsid w:val="00876A33"/>
    <w:rsid w:val="008811B3"/>
    <w:rsid w:val="00883188"/>
    <w:rsid w:val="00883725"/>
    <w:rsid w:val="00883FA1"/>
    <w:rsid w:val="00886080"/>
    <w:rsid w:val="008867DE"/>
    <w:rsid w:val="00891919"/>
    <w:rsid w:val="008974E5"/>
    <w:rsid w:val="008D2758"/>
    <w:rsid w:val="008D3016"/>
    <w:rsid w:val="008E78F1"/>
    <w:rsid w:val="008F0C80"/>
    <w:rsid w:val="008F3C32"/>
    <w:rsid w:val="00902C67"/>
    <w:rsid w:val="00907698"/>
    <w:rsid w:val="00921955"/>
    <w:rsid w:val="00922670"/>
    <w:rsid w:val="0092279B"/>
    <w:rsid w:val="00924DB0"/>
    <w:rsid w:val="009432A2"/>
    <w:rsid w:val="0095338A"/>
    <w:rsid w:val="009564E4"/>
    <w:rsid w:val="009704D5"/>
    <w:rsid w:val="00974B85"/>
    <w:rsid w:val="0098104D"/>
    <w:rsid w:val="00984B6B"/>
    <w:rsid w:val="009858D8"/>
    <w:rsid w:val="0098768C"/>
    <w:rsid w:val="0099633C"/>
    <w:rsid w:val="00996B32"/>
    <w:rsid w:val="009A0F7B"/>
    <w:rsid w:val="009A1654"/>
    <w:rsid w:val="009A3504"/>
    <w:rsid w:val="009A612A"/>
    <w:rsid w:val="009A6E4A"/>
    <w:rsid w:val="009A737B"/>
    <w:rsid w:val="009C0D51"/>
    <w:rsid w:val="009C3068"/>
    <w:rsid w:val="009C6280"/>
    <w:rsid w:val="009D40D9"/>
    <w:rsid w:val="009F3686"/>
    <w:rsid w:val="009F57D6"/>
    <w:rsid w:val="009F5AE3"/>
    <w:rsid w:val="00A17625"/>
    <w:rsid w:val="00A22CA2"/>
    <w:rsid w:val="00A31D4B"/>
    <w:rsid w:val="00A32A6C"/>
    <w:rsid w:val="00A349EA"/>
    <w:rsid w:val="00A45595"/>
    <w:rsid w:val="00A54520"/>
    <w:rsid w:val="00A621CA"/>
    <w:rsid w:val="00A70B7F"/>
    <w:rsid w:val="00A71198"/>
    <w:rsid w:val="00A77376"/>
    <w:rsid w:val="00A8330B"/>
    <w:rsid w:val="00A850D7"/>
    <w:rsid w:val="00A91D43"/>
    <w:rsid w:val="00A91EAB"/>
    <w:rsid w:val="00A93E8D"/>
    <w:rsid w:val="00AA4CE4"/>
    <w:rsid w:val="00AA7093"/>
    <w:rsid w:val="00AD1928"/>
    <w:rsid w:val="00AE21A7"/>
    <w:rsid w:val="00AE62E0"/>
    <w:rsid w:val="00AF7C44"/>
    <w:rsid w:val="00B03423"/>
    <w:rsid w:val="00B05143"/>
    <w:rsid w:val="00B053C1"/>
    <w:rsid w:val="00B10E84"/>
    <w:rsid w:val="00B129A0"/>
    <w:rsid w:val="00B22634"/>
    <w:rsid w:val="00B2264B"/>
    <w:rsid w:val="00B408F9"/>
    <w:rsid w:val="00B5187B"/>
    <w:rsid w:val="00B60DF1"/>
    <w:rsid w:val="00B74CAA"/>
    <w:rsid w:val="00B86ACA"/>
    <w:rsid w:val="00B908E3"/>
    <w:rsid w:val="00BA5C46"/>
    <w:rsid w:val="00BA5E9B"/>
    <w:rsid w:val="00BB4BDF"/>
    <w:rsid w:val="00BB7FF0"/>
    <w:rsid w:val="00BE272E"/>
    <w:rsid w:val="00BE3A03"/>
    <w:rsid w:val="00BF2BCB"/>
    <w:rsid w:val="00BF5BD7"/>
    <w:rsid w:val="00C07B10"/>
    <w:rsid w:val="00C3606B"/>
    <w:rsid w:val="00C524BF"/>
    <w:rsid w:val="00C53050"/>
    <w:rsid w:val="00C559C1"/>
    <w:rsid w:val="00C55CCC"/>
    <w:rsid w:val="00C560C0"/>
    <w:rsid w:val="00C57D52"/>
    <w:rsid w:val="00C6005B"/>
    <w:rsid w:val="00C73B04"/>
    <w:rsid w:val="00C75E4D"/>
    <w:rsid w:val="00C76A87"/>
    <w:rsid w:val="00C77CBD"/>
    <w:rsid w:val="00C84E02"/>
    <w:rsid w:val="00C937AB"/>
    <w:rsid w:val="00CA540E"/>
    <w:rsid w:val="00CA5D91"/>
    <w:rsid w:val="00CA5F96"/>
    <w:rsid w:val="00CB0A89"/>
    <w:rsid w:val="00CB2491"/>
    <w:rsid w:val="00CB2F7C"/>
    <w:rsid w:val="00CB7970"/>
    <w:rsid w:val="00CC18E4"/>
    <w:rsid w:val="00CC74DD"/>
    <w:rsid w:val="00CE52D2"/>
    <w:rsid w:val="00CE6D78"/>
    <w:rsid w:val="00CF26C8"/>
    <w:rsid w:val="00D006F9"/>
    <w:rsid w:val="00D00DDB"/>
    <w:rsid w:val="00D10D26"/>
    <w:rsid w:val="00D10F76"/>
    <w:rsid w:val="00D138FA"/>
    <w:rsid w:val="00D15902"/>
    <w:rsid w:val="00D27BF6"/>
    <w:rsid w:val="00D27E94"/>
    <w:rsid w:val="00D32F72"/>
    <w:rsid w:val="00D45126"/>
    <w:rsid w:val="00D46CAB"/>
    <w:rsid w:val="00D46D84"/>
    <w:rsid w:val="00D52050"/>
    <w:rsid w:val="00D54A99"/>
    <w:rsid w:val="00D66EDC"/>
    <w:rsid w:val="00D722DD"/>
    <w:rsid w:val="00D93FC5"/>
    <w:rsid w:val="00DA3698"/>
    <w:rsid w:val="00DB5828"/>
    <w:rsid w:val="00DC3B07"/>
    <w:rsid w:val="00DC60CA"/>
    <w:rsid w:val="00DD30CF"/>
    <w:rsid w:val="00DD7C67"/>
    <w:rsid w:val="00DE0A11"/>
    <w:rsid w:val="00DE324E"/>
    <w:rsid w:val="00DF0D5D"/>
    <w:rsid w:val="00DF1E25"/>
    <w:rsid w:val="00DF55B2"/>
    <w:rsid w:val="00DF7363"/>
    <w:rsid w:val="00E00A61"/>
    <w:rsid w:val="00E012A5"/>
    <w:rsid w:val="00E04D71"/>
    <w:rsid w:val="00E05268"/>
    <w:rsid w:val="00E17803"/>
    <w:rsid w:val="00E20671"/>
    <w:rsid w:val="00E2096D"/>
    <w:rsid w:val="00E22DDA"/>
    <w:rsid w:val="00E275F1"/>
    <w:rsid w:val="00E302A9"/>
    <w:rsid w:val="00E32610"/>
    <w:rsid w:val="00E3520C"/>
    <w:rsid w:val="00E37C72"/>
    <w:rsid w:val="00E4524C"/>
    <w:rsid w:val="00E734F7"/>
    <w:rsid w:val="00E76BA4"/>
    <w:rsid w:val="00E77DAF"/>
    <w:rsid w:val="00E822BE"/>
    <w:rsid w:val="00E82F87"/>
    <w:rsid w:val="00E85485"/>
    <w:rsid w:val="00E90922"/>
    <w:rsid w:val="00E94178"/>
    <w:rsid w:val="00EA1678"/>
    <w:rsid w:val="00EB23DC"/>
    <w:rsid w:val="00EB27EB"/>
    <w:rsid w:val="00EB28B2"/>
    <w:rsid w:val="00EC4D72"/>
    <w:rsid w:val="00EC6B14"/>
    <w:rsid w:val="00ED24D1"/>
    <w:rsid w:val="00ED6B6E"/>
    <w:rsid w:val="00EF1252"/>
    <w:rsid w:val="00EF72D5"/>
    <w:rsid w:val="00F0044C"/>
    <w:rsid w:val="00F01AE2"/>
    <w:rsid w:val="00F04CAD"/>
    <w:rsid w:val="00F10357"/>
    <w:rsid w:val="00F12AB0"/>
    <w:rsid w:val="00F155BA"/>
    <w:rsid w:val="00F24694"/>
    <w:rsid w:val="00F256BF"/>
    <w:rsid w:val="00F36231"/>
    <w:rsid w:val="00F40E4C"/>
    <w:rsid w:val="00F440AE"/>
    <w:rsid w:val="00F45878"/>
    <w:rsid w:val="00F50C67"/>
    <w:rsid w:val="00F5624F"/>
    <w:rsid w:val="00F622E0"/>
    <w:rsid w:val="00F713ED"/>
    <w:rsid w:val="00F74E20"/>
    <w:rsid w:val="00F913E4"/>
    <w:rsid w:val="00FA468C"/>
    <w:rsid w:val="00FA57E4"/>
    <w:rsid w:val="00FB468B"/>
    <w:rsid w:val="00FB6494"/>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CCB3BF"/>
  <w15:docId w15:val="{459D4094-5773-4375-9BEB-73C3F41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E0C8-28C6-4E78-98F9-3C647CDB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TotalTime>
  <Pages>2</Pages>
  <Words>713</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2</cp:revision>
  <cp:lastPrinted>2015-07-22T18:17:00Z</cp:lastPrinted>
  <dcterms:created xsi:type="dcterms:W3CDTF">2022-02-14T18:51:00Z</dcterms:created>
  <dcterms:modified xsi:type="dcterms:W3CDTF">2022-02-14T18:51:00Z</dcterms:modified>
</cp:coreProperties>
</file>