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FF" w:rsidRPr="002A0220" w:rsidRDefault="000134FF" w:rsidP="00A71198">
      <w:pPr>
        <w:pStyle w:val="Heading2"/>
        <w:ind w:left="2160" w:hanging="2160"/>
        <w:rPr>
          <w:rFonts w:ascii="Times New Roman" w:hAnsi="Times New Roman"/>
          <w:caps/>
          <w:color w:val="0000FF"/>
          <w:szCs w:val="24"/>
        </w:rPr>
      </w:pPr>
      <w:bookmarkStart w:id="0" w:name="_GoBack"/>
      <w:bookmarkEnd w:id="0"/>
      <w:r w:rsidRPr="002A0220">
        <w:rPr>
          <w:rFonts w:ascii="Times New Roman" w:hAnsi="Times New Roman"/>
          <w:szCs w:val="24"/>
        </w:rPr>
        <w:t>TOPIC:</w:t>
      </w:r>
      <w:r w:rsidRPr="002A0220">
        <w:rPr>
          <w:rFonts w:ascii="Times New Roman" w:hAnsi="Times New Roman"/>
          <w:szCs w:val="24"/>
        </w:rPr>
        <w:tab/>
      </w:r>
      <w:r w:rsidR="00FF4553">
        <w:rPr>
          <w:rFonts w:ascii="Times New Roman" w:hAnsi="Times New Roman"/>
          <w:szCs w:val="24"/>
        </w:rPr>
        <w:t>RECOMMEND</w:t>
      </w:r>
      <w:r w:rsidR="00F4427D">
        <w:rPr>
          <w:rFonts w:ascii="Times New Roman" w:hAnsi="Times New Roman"/>
          <w:szCs w:val="24"/>
        </w:rPr>
        <w:t xml:space="preserve"> </w:t>
      </w:r>
      <w:r w:rsidR="00421D02">
        <w:rPr>
          <w:rFonts w:ascii="Times New Roman" w:hAnsi="Times New Roman"/>
          <w:szCs w:val="24"/>
        </w:rPr>
        <w:t xml:space="preserve">APPROVAL OF </w:t>
      </w:r>
      <w:r w:rsidR="00F4427D">
        <w:rPr>
          <w:rFonts w:ascii="Times New Roman" w:hAnsi="Times New Roman"/>
          <w:szCs w:val="24"/>
        </w:rPr>
        <w:t xml:space="preserve">INCLUSIVE </w:t>
      </w:r>
      <w:r w:rsidR="00421D02">
        <w:rPr>
          <w:rFonts w:ascii="Times New Roman" w:hAnsi="Times New Roman"/>
          <w:szCs w:val="24"/>
        </w:rPr>
        <w:t xml:space="preserve">PROCESS FOR </w:t>
      </w:r>
      <w:r w:rsidR="00F4427D">
        <w:rPr>
          <w:rFonts w:ascii="Times New Roman" w:hAnsi="Times New Roman"/>
          <w:szCs w:val="24"/>
        </w:rPr>
        <w:t xml:space="preserve">THE DEVELOPMENT OF </w:t>
      </w:r>
      <w:r w:rsidR="00653FCB">
        <w:rPr>
          <w:rFonts w:ascii="Times New Roman" w:hAnsi="Times New Roman"/>
          <w:szCs w:val="24"/>
        </w:rPr>
        <w:t>A STATEWIDE</w:t>
      </w:r>
      <w:r w:rsidR="00262834">
        <w:rPr>
          <w:rFonts w:ascii="Times New Roman" w:hAnsi="Times New Roman"/>
          <w:caps/>
          <w:szCs w:val="24"/>
        </w:rPr>
        <w:t xml:space="preserve"> PRIOR</w:t>
      </w:r>
      <w:r w:rsidR="009737C3">
        <w:rPr>
          <w:rFonts w:ascii="Times New Roman" w:hAnsi="Times New Roman"/>
          <w:caps/>
          <w:szCs w:val="24"/>
        </w:rPr>
        <w:t xml:space="preserve"> LEARNING ASSESSMENT</w:t>
      </w:r>
      <w:r w:rsidR="00D77509">
        <w:rPr>
          <w:rFonts w:ascii="Times New Roman" w:hAnsi="Times New Roman"/>
          <w:caps/>
          <w:szCs w:val="24"/>
        </w:rPr>
        <w:t xml:space="preserve"> policy</w:t>
      </w:r>
    </w:p>
    <w:p w:rsidR="000134FF" w:rsidRPr="002A0220" w:rsidRDefault="000134FF" w:rsidP="00A71198">
      <w:pPr>
        <w:jc w:val="both"/>
        <w:rPr>
          <w:caps/>
          <w:sz w:val="24"/>
        </w:rPr>
      </w:pPr>
    </w:p>
    <w:p w:rsidR="000134FF" w:rsidRPr="002A0220" w:rsidRDefault="000134FF" w:rsidP="00A71198">
      <w:pPr>
        <w:tabs>
          <w:tab w:val="left" w:pos="2160"/>
        </w:tabs>
        <w:ind w:left="2160" w:hanging="2160"/>
        <w:jc w:val="both"/>
        <w:outlineLvl w:val="0"/>
        <w:rPr>
          <w:i/>
          <w:color w:val="0000FF"/>
          <w:sz w:val="24"/>
        </w:rPr>
      </w:pPr>
      <w:r w:rsidRPr="002A0220">
        <w:rPr>
          <w:b/>
          <w:sz w:val="24"/>
        </w:rPr>
        <w:t>PREPARED BY:</w:t>
      </w:r>
      <w:r w:rsidRPr="002A0220">
        <w:rPr>
          <w:b/>
          <w:sz w:val="24"/>
        </w:rPr>
        <w:tab/>
      </w:r>
      <w:r w:rsidR="00262834">
        <w:rPr>
          <w:b/>
          <w:sz w:val="24"/>
        </w:rPr>
        <w:t xml:space="preserve">RHONDA EPPER, CHIEF STUDENT SUCCESS &amp; ACADEMIC AFFAIRS OFFICER, AND </w:t>
      </w:r>
      <w:r w:rsidR="009737C3">
        <w:rPr>
          <w:b/>
          <w:sz w:val="24"/>
        </w:rPr>
        <w:t>IAN MACGILLIVRAY, DIRECTOR OF ACADEMIC AFFAIRS</w:t>
      </w:r>
      <w:r w:rsidR="009858D8" w:rsidRPr="002A0220">
        <w:rPr>
          <w:b/>
          <w:sz w:val="24"/>
        </w:rPr>
        <w:t xml:space="preserve"> </w:t>
      </w:r>
    </w:p>
    <w:p w:rsidR="009E05F5" w:rsidRDefault="009E05F5" w:rsidP="009E05F5">
      <w:pPr>
        <w:rPr>
          <w:color w:val="1F497D"/>
        </w:rPr>
      </w:pPr>
    </w:p>
    <w:p w:rsidR="006E09E9" w:rsidRPr="002A0220" w:rsidRDefault="006E09E9" w:rsidP="003774DD">
      <w:pPr>
        <w:widowControl w:val="0"/>
        <w:numPr>
          <w:ilvl w:val="0"/>
          <w:numId w:val="1"/>
        </w:numPr>
        <w:ind w:left="0" w:firstLine="0"/>
        <w:jc w:val="both"/>
        <w:rPr>
          <w:b/>
          <w:sz w:val="24"/>
          <w:u w:val="single"/>
        </w:rPr>
      </w:pPr>
      <w:r w:rsidRPr="002A0220">
        <w:rPr>
          <w:b/>
          <w:sz w:val="24"/>
          <w:u w:val="single"/>
        </w:rPr>
        <w:t>SUMMARY</w:t>
      </w:r>
    </w:p>
    <w:p w:rsidR="006E09E9" w:rsidRPr="002A0220" w:rsidRDefault="006E09E9" w:rsidP="006E09E9">
      <w:pPr>
        <w:ind w:left="1080"/>
        <w:jc w:val="both"/>
        <w:rPr>
          <w:sz w:val="24"/>
        </w:rPr>
      </w:pPr>
    </w:p>
    <w:p w:rsidR="00DF4CD1" w:rsidRPr="00FD0344" w:rsidRDefault="009737C3" w:rsidP="00DF4CD1">
      <w:pPr>
        <w:jc w:val="both"/>
        <w:outlineLvl w:val="0"/>
        <w:rPr>
          <w:sz w:val="24"/>
        </w:rPr>
      </w:pPr>
      <w:r>
        <w:rPr>
          <w:sz w:val="24"/>
        </w:rPr>
        <w:t xml:space="preserve">This </w:t>
      </w:r>
      <w:r w:rsidR="001E1175">
        <w:rPr>
          <w:sz w:val="24"/>
        </w:rPr>
        <w:t>action</w:t>
      </w:r>
      <w:r w:rsidR="006627D2">
        <w:rPr>
          <w:sz w:val="24"/>
        </w:rPr>
        <w:t xml:space="preserve"> item recommends the Commission </w:t>
      </w:r>
      <w:r w:rsidR="00AF724B">
        <w:rPr>
          <w:sz w:val="24"/>
        </w:rPr>
        <w:t xml:space="preserve">approve </w:t>
      </w:r>
      <w:r w:rsidR="00C654B0">
        <w:rPr>
          <w:sz w:val="24"/>
        </w:rPr>
        <w:t xml:space="preserve">a </w:t>
      </w:r>
      <w:r w:rsidR="00AF724B">
        <w:rPr>
          <w:sz w:val="24"/>
        </w:rPr>
        <w:t>process, which includes</w:t>
      </w:r>
      <w:r w:rsidR="006627D2">
        <w:rPr>
          <w:sz w:val="24"/>
        </w:rPr>
        <w:t xml:space="preserve"> the Department</w:t>
      </w:r>
      <w:r w:rsidR="000370A3">
        <w:rPr>
          <w:sz w:val="24"/>
        </w:rPr>
        <w:t>,</w:t>
      </w:r>
      <w:r w:rsidR="006627D2">
        <w:rPr>
          <w:sz w:val="24"/>
        </w:rPr>
        <w:t xml:space="preserve"> stakeholder councils</w:t>
      </w:r>
      <w:r w:rsidR="000370A3">
        <w:rPr>
          <w:sz w:val="24"/>
        </w:rPr>
        <w:t xml:space="preserve">, </w:t>
      </w:r>
      <w:r w:rsidR="00BD0E51">
        <w:rPr>
          <w:sz w:val="24"/>
        </w:rPr>
        <w:t xml:space="preserve">faculty, </w:t>
      </w:r>
      <w:r w:rsidR="00056466">
        <w:rPr>
          <w:sz w:val="24"/>
        </w:rPr>
        <w:t>administrators</w:t>
      </w:r>
      <w:r w:rsidR="000370A3">
        <w:rPr>
          <w:sz w:val="24"/>
        </w:rPr>
        <w:t>,</w:t>
      </w:r>
      <w:r w:rsidR="00BD0E51">
        <w:rPr>
          <w:sz w:val="24"/>
        </w:rPr>
        <w:t xml:space="preserve"> and other appropriate individuals at</w:t>
      </w:r>
      <w:r w:rsidR="006627D2">
        <w:rPr>
          <w:sz w:val="24"/>
        </w:rPr>
        <w:t xml:space="preserve"> in</w:t>
      </w:r>
      <w:r w:rsidR="002A5701">
        <w:rPr>
          <w:sz w:val="24"/>
        </w:rPr>
        <w:t>stitutions of higher education</w:t>
      </w:r>
      <w:r w:rsidR="00C654B0">
        <w:rPr>
          <w:sz w:val="24"/>
        </w:rPr>
        <w:t xml:space="preserve"> as well as interested parties</w:t>
      </w:r>
      <w:r w:rsidR="00AF724B">
        <w:rPr>
          <w:sz w:val="24"/>
        </w:rPr>
        <w:t>,</w:t>
      </w:r>
      <w:r w:rsidR="002A5701">
        <w:rPr>
          <w:sz w:val="24"/>
        </w:rPr>
        <w:t xml:space="preserve"> </w:t>
      </w:r>
      <w:r w:rsidR="00C654B0">
        <w:rPr>
          <w:sz w:val="24"/>
        </w:rPr>
        <w:t xml:space="preserve">to create </w:t>
      </w:r>
      <w:r w:rsidR="006627D2">
        <w:rPr>
          <w:sz w:val="24"/>
        </w:rPr>
        <w:t>a comprehensive, statewide Prior Learning Assessment (PLA) policy</w:t>
      </w:r>
      <w:r w:rsidR="00C654B0">
        <w:rPr>
          <w:sz w:val="24"/>
        </w:rPr>
        <w:t xml:space="preserve">.  When completed, the policy will provide </w:t>
      </w:r>
      <w:r w:rsidR="005D298A">
        <w:rPr>
          <w:sz w:val="24"/>
        </w:rPr>
        <w:t>greater consistency and transparency</w:t>
      </w:r>
      <w:r w:rsidR="00C654B0">
        <w:rPr>
          <w:sz w:val="24"/>
        </w:rPr>
        <w:t xml:space="preserve"> that can </w:t>
      </w:r>
      <w:r w:rsidR="006627D2">
        <w:rPr>
          <w:sz w:val="24"/>
        </w:rPr>
        <w:t xml:space="preserve">assist </w:t>
      </w:r>
      <w:r w:rsidR="00C654B0">
        <w:rPr>
          <w:sz w:val="24"/>
        </w:rPr>
        <w:t xml:space="preserve">students in achieving their goals and </w:t>
      </w:r>
      <w:r w:rsidR="006627D2">
        <w:rPr>
          <w:sz w:val="24"/>
        </w:rPr>
        <w:t>the state in achieving Commission Master Plan Goals 1 &amp; 3 to increase degree completion and close achievement gaps.</w:t>
      </w:r>
      <w:r w:rsidR="00DF4CD1">
        <w:rPr>
          <w:sz w:val="24"/>
        </w:rPr>
        <w:t xml:space="preserve"> It also recommends </w:t>
      </w:r>
      <w:r w:rsidR="00C54F58">
        <w:rPr>
          <w:sz w:val="24"/>
        </w:rPr>
        <w:t xml:space="preserve">a course of action </w:t>
      </w:r>
      <w:r w:rsidR="008F42A5">
        <w:rPr>
          <w:sz w:val="24"/>
        </w:rPr>
        <w:t>that will be inclusive, deliberative, and provide all public institutions of higher education with ample opportunities for input.</w:t>
      </w:r>
      <w:r w:rsidR="00DF4CD1">
        <w:rPr>
          <w:sz w:val="24"/>
        </w:rPr>
        <w:t xml:space="preserve"> Last, </w:t>
      </w:r>
      <w:r w:rsidR="005D298A">
        <w:rPr>
          <w:sz w:val="24"/>
        </w:rPr>
        <w:t>one of the main goals directing this work is to ensure</w:t>
      </w:r>
      <w:r w:rsidR="00DF4CD1">
        <w:rPr>
          <w:sz w:val="24"/>
        </w:rPr>
        <w:t xml:space="preserve"> that </w:t>
      </w:r>
      <w:r w:rsidR="00056466">
        <w:rPr>
          <w:sz w:val="24"/>
        </w:rPr>
        <w:t xml:space="preserve">PLA </w:t>
      </w:r>
      <w:r w:rsidR="00DF4CD1">
        <w:rPr>
          <w:sz w:val="24"/>
        </w:rPr>
        <w:t xml:space="preserve">credits earned at one public institution will be accepted in transfer and </w:t>
      </w:r>
      <w:proofErr w:type="gramStart"/>
      <w:r w:rsidR="00DF4CD1">
        <w:rPr>
          <w:sz w:val="24"/>
        </w:rPr>
        <w:t>apply</w:t>
      </w:r>
      <w:proofErr w:type="gramEnd"/>
      <w:r w:rsidR="00DF4CD1">
        <w:rPr>
          <w:sz w:val="24"/>
        </w:rPr>
        <w:t xml:space="preserve"> to equivalent </w:t>
      </w:r>
      <w:r w:rsidR="00043F72">
        <w:rPr>
          <w:sz w:val="24"/>
        </w:rPr>
        <w:t>general education</w:t>
      </w:r>
      <w:r w:rsidR="00DF4CD1">
        <w:rPr>
          <w:sz w:val="24"/>
        </w:rPr>
        <w:t xml:space="preserve"> requirements at any receiving public institution</w:t>
      </w:r>
      <w:r w:rsidR="00043F72">
        <w:rPr>
          <w:sz w:val="24"/>
        </w:rPr>
        <w:t xml:space="preserve"> and to unify equivalently applied cut scores for major and elective credit to the greatest extent possible</w:t>
      </w:r>
      <w:r w:rsidR="00DF4CD1">
        <w:rPr>
          <w:sz w:val="24"/>
        </w:rPr>
        <w:t>.</w:t>
      </w:r>
    </w:p>
    <w:p w:rsidR="006E09E9" w:rsidRDefault="006E09E9" w:rsidP="006E09E9">
      <w:pPr>
        <w:pStyle w:val="Heading2"/>
        <w:rPr>
          <w:rFonts w:ascii="Times New Roman" w:hAnsi="Times New Roman"/>
          <w:szCs w:val="24"/>
        </w:rPr>
      </w:pPr>
    </w:p>
    <w:p w:rsidR="006627D2" w:rsidRPr="006627D2" w:rsidRDefault="006627D2" w:rsidP="006627D2"/>
    <w:p w:rsidR="006E09E9" w:rsidRPr="003E156A" w:rsidRDefault="006E09E9" w:rsidP="003774DD">
      <w:pPr>
        <w:pStyle w:val="Heading2"/>
        <w:widowControl w:val="0"/>
        <w:numPr>
          <w:ilvl w:val="0"/>
          <w:numId w:val="1"/>
        </w:numPr>
        <w:tabs>
          <w:tab w:val="left" w:pos="-720"/>
          <w:tab w:val="left" w:pos="0"/>
        </w:tabs>
        <w:suppressAutoHyphens/>
        <w:rPr>
          <w:rFonts w:ascii="Times New Roman" w:hAnsi="Times New Roman"/>
          <w:szCs w:val="24"/>
          <w:u w:val="single"/>
        </w:rPr>
      </w:pPr>
      <w:r w:rsidRPr="003E156A">
        <w:rPr>
          <w:rFonts w:ascii="Times New Roman" w:hAnsi="Times New Roman"/>
          <w:szCs w:val="24"/>
          <w:u w:val="single"/>
        </w:rPr>
        <w:t>BACKGROUND</w:t>
      </w:r>
    </w:p>
    <w:p w:rsidR="006E09E9" w:rsidRPr="002A0220" w:rsidRDefault="006E09E9" w:rsidP="006E09E9">
      <w:pPr>
        <w:ind w:left="1080"/>
        <w:rPr>
          <w:sz w:val="24"/>
        </w:rPr>
      </w:pPr>
    </w:p>
    <w:p w:rsidR="005F71C9" w:rsidRPr="001E1175" w:rsidRDefault="005F71C9" w:rsidP="00CB167E">
      <w:pPr>
        <w:autoSpaceDE w:val="0"/>
        <w:autoSpaceDN w:val="0"/>
        <w:adjustRightInd w:val="0"/>
        <w:jc w:val="both"/>
        <w:rPr>
          <w:b/>
          <w:sz w:val="24"/>
        </w:rPr>
      </w:pPr>
      <w:r w:rsidRPr="001E1175">
        <w:rPr>
          <w:b/>
          <w:sz w:val="24"/>
        </w:rPr>
        <w:t>Revisions since February 13, 2015</w:t>
      </w:r>
    </w:p>
    <w:p w:rsidR="005F71C9" w:rsidRDefault="005F71C9">
      <w:pPr>
        <w:autoSpaceDE w:val="0"/>
        <w:autoSpaceDN w:val="0"/>
        <w:adjustRightInd w:val="0"/>
        <w:jc w:val="both"/>
        <w:rPr>
          <w:sz w:val="24"/>
        </w:rPr>
      </w:pPr>
    </w:p>
    <w:p w:rsidR="005F71C9" w:rsidRDefault="0015357D">
      <w:pPr>
        <w:autoSpaceDE w:val="0"/>
        <w:autoSpaceDN w:val="0"/>
        <w:adjustRightInd w:val="0"/>
        <w:jc w:val="both"/>
        <w:rPr>
          <w:sz w:val="24"/>
        </w:rPr>
      </w:pPr>
      <w:r>
        <w:rPr>
          <w:sz w:val="24"/>
        </w:rPr>
        <w:t>Based on feedback from the Commission and stakeholder groups, the following r</w:t>
      </w:r>
      <w:r w:rsidR="005F71C9">
        <w:rPr>
          <w:sz w:val="24"/>
        </w:rPr>
        <w:t xml:space="preserve">evisions </w:t>
      </w:r>
      <w:r>
        <w:rPr>
          <w:sz w:val="24"/>
        </w:rPr>
        <w:t xml:space="preserve">were made </w:t>
      </w:r>
      <w:r w:rsidR="005F71C9">
        <w:rPr>
          <w:sz w:val="24"/>
        </w:rPr>
        <w:t>to this action item since it was presented to the Commission as a discussion item at its February 13, 2015 meeting:</w:t>
      </w:r>
    </w:p>
    <w:p w:rsidR="005F71C9" w:rsidRDefault="005F71C9">
      <w:pPr>
        <w:autoSpaceDE w:val="0"/>
        <w:autoSpaceDN w:val="0"/>
        <w:adjustRightInd w:val="0"/>
        <w:jc w:val="both"/>
        <w:rPr>
          <w:sz w:val="24"/>
        </w:rPr>
      </w:pPr>
    </w:p>
    <w:p w:rsidR="009118E0" w:rsidRPr="009118E0" w:rsidRDefault="009118E0" w:rsidP="009118E0">
      <w:pPr>
        <w:pStyle w:val="ListParagraph"/>
        <w:numPr>
          <w:ilvl w:val="0"/>
          <w:numId w:val="39"/>
        </w:numPr>
        <w:spacing w:after="120" w:line="240" w:lineRule="auto"/>
        <w:contextualSpacing w:val="0"/>
        <w:jc w:val="both"/>
        <w:rPr>
          <w:rFonts w:ascii="Times New Roman" w:hAnsi="Times New Roman"/>
          <w:sz w:val="24"/>
        </w:rPr>
      </w:pPr>
      <w:r w:rsidRPr="009118E0">
        <w:rPr>
          <w:rFonts w:ascii="Times New Roman" w:hAnsi="Times New Roman"/>
          <w:sz w:val="24"/>
        </w:rPr>
        <w:t>The title was revised to highlight the fact that the Commission is being asked to approve a</w:t>
      </w:r>
      <w:r w:rsidR="00F4427D">
        <w:rPr>
          <w:rFonts w:ascii="Times New Roman" w:hAnsi="Times New Roman"/>
          <w:sz w:val="24"/>
        </w:rPr>
        <w:t>n inclusive</w:t>
      </w:r>
      <w:r w:rsidR="00653FCB">
        <w:rPr>
          <w:rFonts w:ascii="Times New Roman" w:hAnsi="Times New Roman"/>
          <w:sz w:val="24"/>
        </w:rPr>
        <w:t xml:space="preserve"> </w:t>
      </w:r>
      <w:r w:rsidR="00043F72">
        <w:rPr>
          <w:rFonts w:ascii="Times New Roman" w:hAnsi="Times New Roman"/>
          <w:sz w:val="24"/>
        </w:rPr>
        <w:t xml:space="preserve">process with goals </w:t>
      </w:r>
      <w:r w:rsidR="00F4427D">
        <w:rPr>
          <w:rFonts w:ascii="Times New Roman" w:hAnsi="Times New Roman"/>
          <w:sz w:val="24"/>
        </w:rPr>
        <w:t xml:space="preserve">that will </w:t>
      </w:r>
      <w:r w:rsidR="005D298A">
        <w:rPr>
          <w:rFonts w:ascii="Times New Roman" w:hAnsi="Times New Roman"/>
          <w:sz w:val="24"/>
        </w:rPr>
        <w:t xml:space="preserve">lead to </w:t>
      </w:r>
      <w:r w:rsidR="00F4427D">
        <w:rPr>
          <w:rFonts w:ascii="Times New Roman" w:hAnsi="Times New Roman"/>
          <w:sz w:val="24"/>
        </w:rPr>
        <w:t xml:space="preserve">a Prior Learning Assessment (PLA) policy for Colorado.  The CCHE is not being asked to approve a policy at this time. </w:t>
      </w:r>
    </w:p>
    <w:p w:rsidR="00BB4B07" w:rsidRDefault="00021DAD" w:rsidP="00BB4B07">
      <w:pPr>
        <w:pStyle w:val="ListParagraph"/>
        <w:numPr>
          <w:ilvl w:val="0"/>
          <w:numId w:val="39"/>
        </w:numPr>
        <w:spacing w:after="120" w:line="240" w:lineRule="auto"/>
        <w:contextualSpacing w:val="0"/>
        <w:jc w:val="both"/>
        <w:rPr>
          <w:rFonts w:ascii="Times New Roman" w:hAnsi="Times New Roman"/>
          <w:sz w:val="24"/>
        </w:rPr>
      </w:pPr>
      <w:r w:rsidRPr="009118E0">
        <w:rPr>
          <w:rFonts w:ascii="Times New Roman" w:hAnsi="Times New Roman"/>
          <w:sz w:val="24"/>
        </w:rPr>
        <w:t xml:space="preserve">In </w:t>
      </w:r>
      <w:r w:rsidR="007E2147">
        <w:rPr>
          <w:rFonts w:ascii="Times New Roman" w:hAnsi="Times New Roman"/>
          <w:sz w:val="24"/>
        </w:rPr>
        <w:t>S</w:t>
      </w:r>
      <w:r w:rsidRPr="009118E0">
        <w:rPr>
          <w:rFonts w:ascii="Times New Roman" w:hAnsi="Times New Roman"/>
          <w:sz w:val="24"/>
        </w:rPr>
        <w:t>ection</w:t>
      </w:r>
      <w:r w:rsidR="00F557E4">
        <w:rPr>
          <w:rFonts w:ascii="Times New Roman" w:hAnsi="Times New Roman"/>
          <w:sz w:val="24"/>
        </w:rPr>
        <w:t xml:space="preserve"> II</w:t>
      </w:r>
      <w:r w:rsidRPr="009118E0">
        <w:rPr>
          <w:rFonts w:ascii="Times New Roman" w:hAnsi="Times New Roman"/>
          <w:sz w:val="24"/>
        </w:rPr>
        <w:t xml:space="preserve">, under Colorado Policy Barriers, #6 was revised to </w:t>
      </w:r>
      <w:r w:rsidR="006D75F3">
        <w:rPr>
          <w:rFonts w:ascii="Times New Roman" w:hAnsi="Times New Roman"/>
          <w:sz w:val="24"/>
        </w:rPr>
        <w:t xml:space="preserve">clarify that, although students may not be awarded credit for a passing score on a CLEP World Language exam, they would not be required to take an introductory World Language course when they are already proficient in that language. </w:t>
      </w:r>
      <w:r w:rsidR="0037145C">
        <w:rPr>
          <w:rFonts w:ascii="Times New Roman" w:hAnsi="Times New Roman"/>
          <w:sz w:val="24"/>
        </w:rPr>
        <w:t xml:space="preserve"> </w:t>
      </w:r>
    </w:p>
    <w:p w:rsidR="00633FC2" w:rsidRPr="000654A5" w:rsidRDefault="009118E0" w:rsidP="00BB4B07">
      <w:pPr>
        <w:pStyle w:val="ListParagraph"/>
        <w:numPr>
          <w:ilvl w:val="0"/>
          <w:numId w:val="39"/>
        </w:numPr>
        <w:spacing w:after="120" w:line="240" w:lineRule="auto"/>
        <w:contextualSpacing w:val="0"/>
        <w:jc w:val="both"/>
        <w:rPr>
          <w:rFonts w:ascii="Times New Roman" w:hAnsi="Times New Roman"/>
          <w:sz w:val="24"/>
        </w:rPr>
      </w:pPr>
      <w:r w:rsidRPr="00BB4B07">
        <w:rPr>
          <w:rFonts w:ascii="Times New Roman" w:hAnsi="Times New Roman"/>
          <w:sz w:val="24"/>
        </w:rPr>
        <w:t>U</w:t>
      </w:r>
      <w:r w:rsidR="00421D02" w:rsidRPr="00BB4B07">
        <w:rPr>
          <w:rFonts w:ascii="Times New Roman" w:hAnsi="Times New Roman"/>
          <w:sz w:val="24"/>
        </w:rPr>
        <w:t xml:space="preserve">nder A Recommendation, </w:t>
      </w:r>
      <w:r w:rsidR="00633FC2" w:rsidRPr="00BB4B07">
        <w:rPr>
          <w:rFonts w:ascii="Times New Roman" w:hAnsi="Times New Roman"/>
          <w:sz w:val="24"/>
        </w:rPr>
        <w:t xml:space="preserve">PLA and </w:t>
      </w:r>
      <w:r w:rsidR="00421D02" w:rsidRPr="00BB4B07">
        <w:rPr>
          <w:rFonts w:ascii="Times New Roman" w:hAnsi="Times New Roman"/>
          <w:sz w:val="24"/>
        </w:rPr>
        <w:t>Colorado</w:t>
      </w:r>
      <w:r w:rsidR="00633FC2" w:rsidRPr="00BB4B07">
        <w:rPr>
          <w:rFonts w:ascii="Times New Roman" w:hAnsi="Times New Roman"/>
          <w:sz w:val="24"/>
        </w:rPr>
        <w:t>, three phases were established. Phase 1 lays out goals and tasks that would ensure all types of PLA credit transfer and apply to general education (gtPathways) requirements. It contains common cut scores for standardized exams. While it does not require every institution to award credit for every type of PLA</w:t>
      </w:r>
      <w:r w:rsidR="00BB4B07" w:rsidRPr="00BB4B07">
        <w:rPr>
          <w:rFonts w:ascii="Times New Roman" w:hAnsi="Times New Roman"/>
          <w:sz w:val="24"/>
        </w:rPr>
        <w:t xml:space="preserve"> (e.g., workforce credit and portfolio review)</w:t>
      </w:r>
      <w:r w:rsidR="00633FC2" w:rsidRPr="00BB4B07">
        <w:rPr>
          <w:rFonts w:ascii="Times New Roman" w:hAnsi="Times New Roman"/>
          <w:sz w:val="24"/>
        </w:rPr>
        <w:t xml:space="preserve">, </w:t>
      </w:r>
      <w:r w:rsidR="00027D0B">
        <w:rPr>
          <w:rFonts w:ascii="Times New Roman" w:hAnsi="Times New Roman"/>
          <w:sz w:val="24"/>
        </w:rPr>
        <w:t>the goal is for</w:t>
      </w:r>
      <w:r w:rsidR="00633FC2" w:rsidRPr="00BB4B07">
        <w:rPr>
          <w:rFonts w:ascii="Times New Roman" w:hAnsi="Times New Roman"/>
          <w:sz w:val="24"/>
        </w:rPr>
        <w:t xml:space="preserve"> every institution to transfer in and apply PLA credit awarded</w:t>
      </w:r>
      <w:r w:rsidR="00BB4B07" w:rsidRPr="00BB4B07">
        <w:rPr>
          <w:rFonts w:ascii="Times New Roman" w:hAnsi="Times New Roman"/>
          <w:sz w:val="24"/>
        </w:rPr>
        <w:t xml:space="preserve"> and applied to </w:t>
      </w:r>
      <w:r w:rsidR="00BB4B07" w:rsidRPr="000654A5">
        <w:rPr>
          <w:rFonts w:ascii="Times New Roman" w:hAnsi="Times New Roman"/>
          <w:sz w:val="24"/>
        </w:rPr>
        <w:t>general education (gtPathways) requirements</w:t>
      </w:r>
      <w:r w:rsidR="00633FC2" w:rsidRPr="000654A5">
        <w:rPr>
          <w:rFonts w:ascii="Times New Roman" w:hAnsi="Times New Roman"/>
          <w:sz w:val="24"/>
        </w:rPr>
        <w:t xml:space="preserve"> at another Colorado institution to its own </w:t>
      </w:r>
      <w:r w:rsidR="00633FC2" w:rsidRPr="000654A5">
        <w:rPr>
          <w:rFonts w:ascii="Times New Roman" w:hAnsi="Times New Roman"/>
          <w:sz w:val="24"/>
        </w:rPr>
        <w:lastRenderedPageBreak/>
        <w:t>general education (gtPathways) requireme</w:t>
      </w:r>
      <w:r w:rsidR="00BB4B07" w:rsidRPr="000654A5">
        <w:rPr>
          <w:rFonts w:ascii="Times New Roman" w:hAnsi="Times New Roman"/>
          <w:sz w:val="24"/>
        </w:rPr>
        <w:t xml:space="preserve">nts, without the need for students to resubmit test scores or other documentation. </w:t>
      </w:r>
      <w:r w:rsidR="000654A5">
        <w:rPr>
          <w:rFonts w:ascii="Times New Roman" w:hAnsi="Times New Roman"/>
          <w:sz w:val="24"/>
        </w:rPr>
        <w:t xml:space="preserve">It also proposes a sample format for making cut scores and application of PLA credit transparent and consistent across institutions (see Appendix </w:t>
      </w:r>
      <w:r w:rsidR="00782371">
        <w:rPr>
          <w:rFonts w:ascii="Times New Roman" w:hAnsi="Times New Roman"/>
          <w:sz w:val="24"/>
        </w:rPr>
        <w:t>E</w:t>
      </w:r>
      <w:r w:rsidR="000654A5">
        <w:rPr>
          <w:rFonts w:ascii="Times New Roman" w:hAnsi="Times New Roman"/>
          <w:sz w:val="24"/>
        </w:rPr>
        <w:t>: Sample Format for Standardized Exam Cut Scores).</w:t>
      </w:r>
    </w:p>
    <w:p w:rsidR="000654A5" w:rsidRDefault="000654A5" w:rsidP="00BB4B07">
      <w:pPr>
        <w:pStyle w:val="ListParagraph"/>
        <w:numPr>
          <w:ilvl w:val="0"/>
          <w:numId w:val="39"/>
        </w:numPr>
        <w:spacing w:after="120" w:line="240" w:lineRule="auto"/>
        <w:contextualSpacing w:val="0"/>
        <w:jc w:val="both"/>
        <w:rPr>
          <w:rFonts w:ascii="Times New Roman" w:hAnsi="Times New Roman"/>
          <w:sz w:val="24"/>
        </w:rPr>
      </w:pPr>
      <w:r w:rsidRPr="00BB4B07">
        <w:rPr>
          <w:rFonts w:ascii="Times New Roman" w:hAnsi="Times New Roman"/>
          <w:sz w:val="24"/>
        </w:rPr>
        <w:t>Under A Recommendation, PLA and Colorado</w:t>
      </w:r>
      <w:r>
        <w:rPr>
          <w:rFonts w:ascii="Times New Roman" w:hAnsi="Times New Roman"/>
          <w:sz w:val="24"/>
        </w:rPr>
        <w:t xml:space="preserve">, </w:t>
      </w:r>
      <w:r w:rsidRPr="000654A5">
        <w:rPr>
          <w:rFonts w:ascii="Times New Roman" w:hAnsi="Times New Roman"/>
          <w:sz w:val="24"/>
        </w:rPr>
        <w:t>Phase 2</w:t>
      </w:r>
      <w:r>
        <w:rPr>
          <w:rFonts w:ascii="Times New Roman" w:hAnsi="Times New Roman"/>
          <w:sz w:val="24"/>
        </w:rPr>
        <w:t xml:space="preserve"> establishes a data gathering, analysis and recommendation process for individual institutions to determine cut scores and applicability of PLA credit to course equivalencies in the major. The attempt will be to unify equivalently applied cut scores for major and elective credit where appropriate, though it will not be a requirement. Phase 2 also contains a goal for institutions to support military/veteran student success.</w:t>
      </w:r>
    </w:p>
    <w:p w:rsidR="000654A5" w:rsidRDefault="000654A5" w:rsidP="00BB4B07">
      <w:pPr>
        <w:pStyle w:val="ListParagraph"/>
        <w:numPr>
          <w:ilvl w:val="0"/>
          <w:numId w:val="39"/>
        </w:numPr>
        <w:spacing w:after="120" w:line="240" w:lineRule="auto"/>
        <w:contextualSpacing w:val="0"/>
        <w:jc w:val="both"/>
        <w:rPr>
          <w:rFonts w:ascii="Times New Roman" w:hAnsi="Times New Roman"/>
          <w:sz w:val="24"/>
        </w:rPr>
      </w:pPr>
      <w:r w:rsidRPr="00BB4B07">
        <w:rPr>
          <w:rFonts w:ascii="Times New Roman" w:hAnsi="Times New Roman"/>
          <w:sz w:val="24"/>
        </w:rPr>
        <w:t>Under A Recommendation, PLA and Colorado</w:t>
      </w:r>
      <w:r>
        <w:rPr>
          <w:rFonts w:ascii="Times New Roman" w:hAnsi="Times New Roman"/>
          <w:sz w:val="24"/>
        </w:rPr>
        <w:t xml:space="preserve">, Phase 3 establishes reporting, </w:t>
      </w:r>
      <w:proofErr w:type="spellStart"/>
      <w:r>
        <w:rPr>
          <w:rFonts w:ascii="Times New Roman" w:hAnsi="Times New Roman"/>
          <w:sz w:val="24"/>
        </w:rPr>
        <w:t>transcripting</w:t>
      </w:r>
      <w:proofErr w:type="spellEnd"/>
      <w:r>
        <w:rPr>
          <w:rFonts w:ascii="Times New Roman" w:hAnsi="Times New Roman"/>
          <w:sz w:val="24"/>
        </w:rPr>
        <w:t>, communication and periodic review goals, which are based on best practices from other states with similar policies.</w:t>
      </w:r>
    </w:p>
    <w:p w:rsidR="00CE70E5" w:rsidRPr="000654A5" w:rsidRDefault="00CE70E5" w:rsidP="00BB4B07">
      <w:pPr>
        <w:pStyle w:val="ListParagraph"/>
        <w:numPr>
          <w:ilvl w:val="0"/>
          <w:numId w:val="39"/>
        </w:numPr>
        <w:spacing w:after="120" w:line="240" w:lineRule="auto"/>
        <w:contextualSpacing w:val="0"/>
        <w:jc w:val="both"/>
        <w:rPr>
          <w:rFonts w:ascii="Times New Roman" w:hAnsi="Times New Roman"/>
          <w:sz w:val="24"/>
        </w:rPr>
      </w:pPr>
      <w:r w:rsidRPr="00BB4B07">
        <w:rPr>
          <w:rFonts w:ascii="Times New Roman" w:hAnsi="Times New Roman"/>
          <w:sz w:val="24"/>
        </w:rPr>
        <w:t>Under A Recommendation, PLA and Colorado</w:t>
      </w:r>
      <w:r>
        <w:rPr>
          <w:rFonts w:ascii="Times New Roman" w:hAnsi="Times New Roman"/>
          <w:sz w:val="24"/>
        </w:rPr>
        <w:t xml:space="preserve">, a Constituent Review Team is proposed to take the place of the previous Task Force. </w:t>
      </w:r>
      <w:r w:rsidR="00027D0B">
        <w:rPr>
          <w:rFonts w:ascii="Times New Roman" w:hAnsi="Times New Roman"/>
          <w:sz w:val="24"/>
        </w:rPr>
        <w:t>A</w:t>
      </w:r>
      <w:r>
        <w:rPr>
          <w:rFonts w:ascii="Times New Roman" w:hAnsi="Times New Roman"/>
          <w:sz w:val="24"/>
        </w:rPr>
        <w:t xml:space="preserve"> timeline is suggested with target dates for various deliverables </w:t>
      </w:r>
      <w:r w:rsidR="00027D0B">
        <w:rPr>
          <w:rFonts w:ascii="Times New Roman" w:hAnsi="Times New Roman"/>
          <w:sz w:val="24"/>
        </w:rPr>
        <w:t xml:space="preserve">as </w:t>
      </w:r>
      <w:r>
        <w:rPr>
          <w:rFonts w:ascii="Times New Roman" w:hAnsi="Times New Roman"/>
          <w:sz w:val="24"/>
        </w:rPr>
        <w:t>certain phases and tasks are completed. The earliest deliverable will be completion of Phase 1, Goal 1 with a target date of December 2015. The last deliverable will be complet</w:t>
      </w:r>
      <w:r w:rsidR="00027D0B">
        <w:rPr>
          <w:rFonts w:ascii="Times New Roman" w:hAnsi="Times New Roman"/>
          <w:sz w:val="24"/>
        </w:rPr>
        <w:t>ed</w:t>
      </w:r>
      <w:r>
        <w:rPr>
          <w:rFonts w:ascii="Times New Roman" w:hAnsi="Times New Roman"/>
          <w:sz w:val="24"/>
        </w:rPr>
        <w:t xml:space="preserve"> </w:t>
      </w:r>
      <w:r w:rsidR="00027D0B">
        <w:rPr>
          <w:rFonts w:ascii="Times New Roman" w:hAnsi="Times New Roman"/>
          <w:sz w:val="24"/>
        </w:rPr>
        <w:t>in</w:t>
      </w:r>
      <w:r>
        <w:rPr>
          <w:rFonts w:ascii="Times New Roman" w:hAnsi="Times New Roman"/>
          <w:sz w:val="24"/>
        </w:rPr>
        <w:t xml:space="preserve"> Phase 3 by December 2016.</w:t>
      </w:r>
    </w:p>
    <w:p w:rsidR="00065B2D" w:rsidRPr="00CE70E5" w:rsidRDefault="009118E0" w:rsidP="009118E0">
      <w:pPr>
        <w:pStyle w:val="ListParagraph"/>
        <w:numPr>
          <w:ilvl w:val="0"/>
          <w:numId w:val="39"/>
        </w:numPr>
        <w:spacing w:after="120" w:line="240" w:lineRule="auto"/>
        <w:contextualSpacing w:val="0"/>
        <w:jc w:val="both"/>
        <w:rPr>
          <w:rFonts w:ascii="Times New Roman" w:hAnsi="Times New Roman"/>
          <w:u w:val="single"/>
        </w:rPr>
      </w:pPr>
      <w:r w:rsidRPr="00CE70E5">
        <w:rPr>
          <w:rFonts w:ascii="Times New Roman" w:hAnsi="Times New Roman"/>
          <w:sz w:val="24"/>
        </w:rPr>
        <w:t xml:space="preserve">Finally, the Staff Recommendation was revised to reflect that staff is asking the Commission to approve this process </w:t>
      </w:r>
      <w:r w:rsidR="0065673C" w:rsidRPr="00CE70E5">
        <w:rPr>
          <w:rFonts w:ascii="Times New Roman" w:hAnsi="Times New Roman"/>
          <w:sz w:val="24"/>
        </w:rPr>
        <w:t xml:space="preserve">in order to </w:t>
      </w:r>
      <w:r w:rsidR="002E32BB" w:rsidRPr="00CE70E5">
        <w:rPr>
          <w:rFonts w:ascii="Times New Roman" w:hAnsi="Times New Roman"/>
          <w:sz w:val="24"/>
        </w:rPr>
        <w:t xml:space="preserve">develop </w:t>
      </w:r>
      <w:r w:rsidRPr="00CE70E5">
        <w:rPr>
          <w:rFonts w:ascii="Times New Roman" w:hAnsi="Times New Roman"/>
          <w:sz w:val="24"/>
        </w:rPr>
        <w:t>a statewide prior learning assessment policy.</w:t>
      </w:r>
      <w:r w:rsidR="00264107">
        <w:rPr>
          <w:rFonts w:ascii="Times New Roman" w:hAnsi="Times New Roman"/>
          <w:sz w:val="24"/>
        </w:rPr>
        <w:t xml:space="preserve"> It should be noted, however, that while the majority of members of Academic Council support this recommendation, there was not consensus. </w:t>
      </w:r>
    </w:p>
    <w:p w:rsidR="001E1175" w:rsidRDefault="001E1175" w:rsidP="00352A47">
      <w:pPr>
        <w:autoSpaceDE w:val="0"/>
        <w:autoSpaceDN w:val="0"/>
        <w:adjustRightInd w:val="0"/>
        <w:jc w:val="both"/>
        <w:rPr>
          <w:sz w:val="24"/>
        </w:rPr>
      </w:pPr>
    </w:p>
    <w:p w:rsidR="00A01B4D" w:rsidRPr="00352A47" w:rsidRDefault="00A01B4D" w:rsidP="00352A47">
      <w:pPr>
        <w:autoSpaceDE w:val="0"/>
        <w:autoSpaceDN w:val="0"/>
        <w:adjustRightInd w:val="0"/>
        <w:jc w:val="both"/>
        <w:rPr>
          <w:sz w:val="24"/>
        </w:rPr>
      </w:pPr>
      <w:r w:rsidRPr="00352A47">
        <w:rPr>
          <w:sz w:val="24"/>
        </w:rPr>
        <w:t>Senate Bill 10-003 charged the Commission with developing a master plan for Colorado higher education, which state</w:t>
      </w:r>
      <w:r w:rsidR="00C54F58">
        <w:rPr>
          <w:sz w:val="24"/>
        </w:rPr>
        <w:t>s in part,</w:t>
      </w:r>
      <w:r w:rsidR="00352A47">
        <w:rPr>
          <w:sz w:val="24"/>
        </w:rPr>
        <w:t xml:space="preserve"> the master plan</w:t>
      </w:r>
      <w:r w:rsidRPr="00352A47">
        <w:rPr>
          <w:sz w:val="24"/>
        </w:rPr>
        <w:t xml:space="preserve"> must </w:t>
      </w:r>
    </w:p>
    <w:p w:rsidR="00A01B4D" w:rsidRPr="00352A47" w:rsidRDefault="00A01B4D" w:rsidP="00352A47">
      <w:pPr>
        <w:autoSpaceDE w:val="0"/>
        <w:autoSpaceDN w:val="0"/>
        <w:adjustRightInd w:val="0"/>
        <w:jc w:val="both"/>
        <w:rPr>
          <w:sz w:val="24"/>
        </w:rPr>
      </w:pPr>
    </w:p>
    <w:p w:rsidR="00A01B4D" w:rsidRPr="00352A47" w:rsidRDefault="00A01B4D" w:rsidP="00352A47">
      <w:pPr>
        <w:autoSpaceDE w:val="0"/>
        <w:autoSpaceDN w:val="0"/>
        <w:adjustRightInd w:val="0"/>
        <w:ind w:left="576" w:right="432"/>
        <w:jc w:val="both"/>
        <w:rPr>
          <w:sz w:val="24"/>
        </w:rPr>
      </w:pPr>
      <w:r w:rsidRPr="00352A47">
        <w:rPr>
          <w:sz w:val="24"/>
        </w:rPr>
        <w:t>…include accountability measures that will demonstrate that students receive high-value and high-quality educational services that are provided with the efficiency necessary to reduce attrition and increase retention and enable students to attain their degrees in a reasonable period of time, and to help ensure students achieve post-graduation success.</w:t>
      </w:r>
    </w:p>
    <w:p w:rsidR="00A01B4D" w:rsidRPr="00352A47" w:rsidRDefault="00A01B4D" w:rsidP="00352A47">
      <w:pPr>
        <w:autoSpaceDE w:val="0"/>
        <w:autoSpaceDN w:val="0"/>
        <w:adjustRightInd w:val="0"/>
        <w:jc w:val="both"/>
        <w:rPr>
          <w:sz w:val="24"/>
        </w:rPr>
      </w:pPr>
    </w:p>
    <w:p w:rsidR="00A01B4D" w:rsidRPr="00352A47" w:rsidRDefault="00A01B4D" w:rsidP="00352A47">
      <w:pPr>
        <w:autoSpaceDE w:val="0"/>
        <w:autoSpaceDN w:val="0"/>
        <w:adjustRightInd w:val="0"/>
        <w:jc w:val="both"/>
        <w:rPr>
          <w:b/>
          <w:sz w:val="24"/>
        </w:rPr>
      </w:pPr>
      <w:r w:rsidRPr="00352A47">
        <w:rPr>
          <w:sz w:val="24"/>
        </w:rPr>
        <w:t xml:space="preserve">This proposal is the next step in implementing the Colorado Commission on Higher Education’s (2012) master plan, </w:t>
      </w:r>
      <w:hyperlink r:id="rId9" w:history="1">
        <w:r w:rsidRPr="00353A6F">
          <w:rPr>
            <w:rStyle w:val="Hyperlink"/>
            <w:i/>
            <w:sz w:val="24"/>
          </w:rPr>
          <w:t>Colorado Competes</w:t>
        </w:r>
      </w:hyperlink>
      <w:r w:rsidR="00352A47">
        <w:rPr>
          <w:sz w:val="24"/>
        </w:rPr>
        <w:t xml:space="preserve">. The </w:t>
      </w:r>
      <w:r w:rsidR="00993EC1">
        <w:rPr>
          <w:sz w:val="24"/>
        </w:rPr>
        <w:t>research shown</w:t>
      </w:r>
      <w:r w:rsidR="00352A47">
        <w:rPr>
          <w:sz w:val="24"/>
        </w:rPr>
        <w:t xml:space="preserve"> herein </w:t>
      </w:r>
      <w:r w:rsidR="00993EC1">
        <w:rPr>
          <w:sz w:val="24"/>
        </w:rPr>
        <w:t>demonstrates that</w:t>
      </w:r>
      <w:r w:rsidR="00352A47">
        <w:rPr>
          <w:sz w:val="24"/>
        </w:rPr>
        <w:t xml:space="preserve"> </w:t>
      </w:r>
      <w:r w:rsidR="00993EC1">
        <w:rPr>
          <w:sz w:val="24"/>
        </w:rPr>
        <w:t>the development of appropriate policies</w:t>
      </w:r>
      <w:r w:rsidR="00352A47">
        <w:rPr>
          <w:sz w:val="24"/>
        </w:rPr>
        <w:t xml:space="preserve"> </w:t>
      </w:r>
      <w:r w:rsidR="00993EC1">
        <w:rPr>
          <w:sz w:val="24"/>
        </w:rPr>
        <w:t xml:space="preserve">can </w:t>
      </w:r>
      <w:r w:rsidR="00352A47">
        <w:rPr>
          <w:sz w:val="24"/>
        </w:rPr>
        <w:t>reduce attrition, increase retention, enable students to achieve timely completion, and reduce costs.</w:t>
      </w:r>
    </w:p>
    <w:p w:rsidR="00352A47" w:rsidRDefault="00352A47" w:rsidP="001C64F3">
      <w:pPr>
        <w:jc w:val="both"/>
        <w:outlineLvl w:val="0"/>
        <w:rPr>
          <w:b/>
          <w:sz w:val="24"/>
        </w:rPr>
      </w:pPr>
    </w:p>
    <w:p w:rsidR="00CE70E5" w:rsidRDefault="00CE70E5" w:rsidP="001C64F3">
      <w:pPr>
        <w:jc w:val="both"/>
        <w:outlineLvl w:val="0"/>
        <w:rPr>
          <w:b/>
          <w:sz w:val="24"/>
        </w:rPr>
      </w:pPr>
    </w:p>
    <w:p w:rsidR="00647983" w:rsidRDefault="00647983" w:rsidP="001C64F3">
      <w:pPr>
        <w:jc w:val="both"/>
        <w:outlineLvl w:val="0"/>
        <w:rPr>
          <w:b/>
          <w:sz w:val="24"/>
        </w:rPr>
      </w:pPr>
      <w:r>
        <w:rPr>
          <w:b/>
          <w:sz w:val="24"/>
        </w:rPr>
        <w:t>National Trends</w:t>
      </w:r>
    </w:p>
    <w:p w:rsidR="00647983" w:rsidRDefault="00647983" w:rsidP="001C64F3">
      <w:pPr>
        <w:jc w:val="both"/>
        <w:outlineLvl w:val="0"/>
        <w:rPr>
          <w:b/>
          <w:sz w:val="24"/>
        </w:rPr>
      </w:pPr>
    </w:p>
    <w:p w:rsidR="000D4B96" w:rsidRDefault="00352A47" w:rsidP="001C64F3">
      <w:pPr>
        <w:jc w:val="both"/>
        <w:outlineLvl w:val="0"/>
        <w:rPr>
          <w:bCs/>
          <w:color w:val="211D1E"/>
          <w:sz w:val="24"/>
        </w:rPr>
      </w:pPr>
      <w:r>
        <w:rPr>
          <w:sz w:val="24"/>
        </w:rPr>
        <w:t>Colorado is not alone in this endeavor. The Lumina Foundation</w:t>
      </w:r>
      <w:r w:rsidR="00B41C94" w:rsidRPr="000D4B96">
        <w:rPr>
          <w:sz w:val="24"/>
        </w:rPr>
        <w:t xml:space="preserve"> (2014)</w:t>
      </w:r>
      <w:r>
        <w:rPr>
          <w:sz w:val="24"/>
        </w:rPr>
        <w:t xml:space="preserve">, one of the main national </w:t>
      </w:r>
      <w:r w:rsidR="00C54F58">
        <w:rPr>
          <w:sz w:val="24"/>
        </w:rPr>
        <w:t>organization</w:t>
      </w:r>
      <w:r>
        <w:rPr>
          <w:sz w:val="24"/>
        </w:rPr>
        <w:t>s assisting states to achieve their goals, has as its own</w:t>
      </w:r>
      <w:r w:rsidR="00D234B6">
        <w:rPr>
          <w:sz w:val="24"/>
        </w:rPr>
        <w:t xml:space="preserve"> goal for the year 2025</w:t>
      </w:r>
      <w:r w:rsidR="00B41C94" w:rsidRPr="000D4B96">
        <w:rPr>
          <w:sz w:val="24"/>
        </w:rPr>
        <w:t xml:space="preserve"> to have </w:t>
      </w:r>
      <w:r w:rsidR="00B41C94" w:rsidRPr="000D4B96">
        <w:rPr>
          <w:rStyle w:val="A1"/>
          <w:rFonts w:cs="Times New Roman"/>
          <w:sz w:val="24"/>
          <w:szCs w:val="24"/>
        </w:rPr>
        <w:t xml:space="preserve">60 percent of Americans hold a college degree, certificate or other high-quality postsecondary credential. This is in line with the Commission’s </w:t>
      </w:r>
      <w:r>
        <w:rPr>
          <w:rStyle w:val="A1"/>
          <w:rFonts w:cs="Times New Roman"/>
          <w:sz w:val="24"/>
          <w:szCs w:val="24"/>
        </w:rPr>
        <w:t>master plan target to reach 66 percent postsecondary credential attainment for Colorado citizens.</w:t>
      </w:r>
      <w:r w:rsidR="00B41C94" w:rsidRPr="000D4B96">
        <w:rPr>
          <w:rStyle w:val="A1"/>
          <w:rFonts w:cs="Times New Roman"/>
          <w:sz w:val="24"/>
          <w:szCs w:val="24"/>
        </w:rPr>
        <w:t xml:space="preserve"> According to</w:t>
      </w:r>
      <w:r w:rsidR="000D4B96" w:rsidRPr="000D4B96">
        <w:rPr>
          <w:rStyle w:val="A1"/>
          <w:rFonts w:cs="Times New Roman"/>
          <w:sz w:val="24"/>
          <w:szCs w:val="24"/>
        </w:rPr>
        <w:t xml:space="preserve"> HCM</w:t>
      </w:r>
      <w:r w:rsidR="00B41C94" w:rsidRPr="000D4B96">
        <w:rPr>
          <w:rStyle w:val="A1"/>
          <w:rFonts w:cs="Times New Roman"/>
          <w:sz w:val="24"/>
          <w:szCs w:val="24"/>
        </w:rPr>
        <w:t xml:space="preserve"> </w:t>
      </w:r>
      <w:r w:rsidR="000D4B96" w:rsidRPr="000D4B96">
        <w:rPr>
          <w:rStyle w:val="A1"/>
          <w:rFonts w:cs="Times New Roman"/>
          <w:sz w:val="24"/>
          <w:szCs w:val="24"/>
        </w:rPr>
        <w:t>Strategists</w:t>
      </w:r>
      <w:r w:rsidR="00B41C94" w:rsidRPr="000D4B96">
        <w:rPr>
          <w:rStyle w:val="A1"/>
          <w:rFonts w:cs="Times New Roman"/>
          <w:sz w:val="24"/>
          <w:szCs w:val="24"/>
        </w:rPr>
        <w:t xml:space="preserve"> (2014), </w:t>
      </w:r>
      <w:r w:rsidR="00B41C94" w:rsidRPr="000D4B96">
        <w:rPr>
          <w:rStyle w:val="A1"/>
          <w:rFonts w:cs="Times New Roman"/>
          <w:sz w:val="24"/>
          <w:szCs w:val="24"/>
        </w:rPr>
        <w:lastRenderedPageBreak/>
        <w:t>twenty-two other states have set similar goals.</w:t>
      </w:r>
      <w:r w:rsidR="000D4B96" w:rsidRPr="000D4B96">
        <w:rPr>
          <w:rStyle w:val="A1"/>
          <w:rFonts w:cs="Times New Roman"/>
          <w:sz w:val="24"/>
          <w:szCs w:val="24"/>
        </w:rPr>
        <w:t xml:space="preserve"> </w:t>
      </w:r>
      <w:r w:rsidR="009C4FE1" w:rsidRPr="009C4FE1">
        <w:rPr>
          <w:rStyle w:val="A1"/>
          <w:rFonts w:cs="Times New Roman"/>
          <w:sz w:val="24"/>
          <w:szCs w:val="24"/>
        </w:rPr>
        <w:t>The Lumina Foundation asserts</w:t>
      </w:r>
      <w:r>
        <w:rPr>
          <w:rStyle w:val="A1"/>
          <w:rFonts w:cs="Times New Roman"/>
          <w:sz w:val="24"/>
          <w:szCs w:val="24"/>
        </w:rPr>
        <w:t>, and it is backed up by the research that will be highlighted below,</w:t>
      </w:r>
      <w:r w:rsidR="009C4FE1" w:rsidRPr="009C4FE1">
        <w:rPr>
          <w:rStyle w:val="A1"/>
          <w:rFonts w:cs="Times New Roman"/>
          <w:sz w:val="24"/>
          <w:szCs w:val="24"/>
        </w:rPr>
        <w:t xml:space="preserve"> that meeting these goals entails three necessary requirements: 1) </w:t>
      </w:r>
      <w:r w:rsidR="000D4B96" w:rsidRPr="009C4FE1">
        <w:rPr>
          <w:bCs/>
          <w:color w:val="211D1E"/>
          <w:sz w:val="24"/>
        </w:rPr>
        <w:t>Base postsecondary credentials,</w:t>
      </w:r>
      <w:r w:rsidR="009C4FE1" w:rsidRPr="009C4FE1">
        <w:rPr>
          <w:bCs/>
          <w:color w:val="211D1E"/>
          <w:sz w:val="24"/>
        </w:rPr>
        <w:t xml:space="preserve"> including degrees, on learning; 2) </w:t>
      </w:r>
      <w:r w:rsidR="000D4B96" w:rsidRPr="009C4FE1">
        <w:rPr>
          <w:color w:val="000000"/>
          <w:sz w:val="24"/>
        </w:rPr>
        <w:t xml:space="preserve">Create smarter pathways for </w:t>
      </w:r>
      <w:r w:rsidR="009C4FE1" w:rsidRPr="009C4FE1">
        <w:rPr>
          <w:color w:val="000000"/>
          <w:sz w:val="24"/>
        </w:rPr>
        <w:t xml:space="preserve">all students; and 3) </w:t>
      </w:r>
      <w:r w:rsidR="000D4B96" w:rsidRPr="009C4FE1">
        <w:rPr>
          <w:color w:val="000000"/>
          <w:sz w:val="24"/>
        </w:rPr>
        <w:t xml:space="preserve">Make higher education accessible and affordable to all </w:t>
      </w:r>
      <w:r w:rsidR="000D4B96" w:rsidRPr="009C4FE1">
        <w:rPr>
          <w:bCs/>
          <w:color w:val="211D1E"/>
          <w:sz w:val="24"/>
        </w:rPr>
        <w:t>who need it</w:t>
      </w:r>
      <w:r w:rsidR="009C4FE1">
        <w:rPr>
          <w:bCs/>
          <w:color w:val="211D1E"/>
          <w:sz w:val="24"/>
        </w:rPr>
        <w:t xml:space="preserve"> (pg. 4)</w:t>
      </w:r>
      <w:r w:rsidR="000D4B96" w:rsidRPr="009C4FE1">
        <w:rPr>
          <w:bCs/>
          <w:color w:val="211D1E"/>
          <w:sz w:val="24"/>
        </w:rPr>
        <w:t>.</w:t>
      </w:r>
      <w:r w:rsidR="009C4FE1">
        <w:rPr>
          <w:bCs/>
          <w:color w:val="211D1E"/>
          <w:sz w:val="24"/>
        </w:rPr>
        <w:t xml:space="preserve"> Department staff agrees with these requirements and notes that </w:t>
      </w:r>
      <w:r w:rsidR="00D234B6">
        <w:rPr>
          <w:bCs/>
          <w:color w:val="211D1E"/>
          <w:sz w:val="24"/>
        </w:rPr>
        <w:t>state higher education executive officers</w:t>
      </w:r>
      <w:r w:rsidR="009C4FE1">
        <w:rPr>
          <w:bCs/>
          <w:color w:val="211D1E"/>
          <w:sz w:val="24"/>
        </w:rPr>
        <w:t xml:space="preserve"> in other states are also working towards them. The following is a brief description of the </w:t>
      </w:r>
      <w:r w:rsidR="001D6F0D">
        <w:rPr>
          <w:bCs/>
          <w:color w:val="211D1E"/>
          <w:sz w:val="24"/>
        </w:rPr>
        <w:t xml:space="preserve">Lumina Foundation’s </w:t>
      </w:r>
      <w:r>
        <w:rPr>
          <w:bCs/>
          <w:color w:val="211D1E"/>
          <w:sz w:val="24"/>
        </w:rPr>
        <w:t xml:space="preserve">(2014) </w:t>
      </w:r>
      <w:r w:rsidR="009C4FE1">
        <w:rPr>
          <w:bCs/>
          <w:color w:val="211D1E"/>
          <w:sz w:val="24"/>
        </w:rPr>
        <w:t xml:space="preserve">requirements </w:t>
      </w:r>
      <w:r>
        <w:rPr>
          <w:bCs/>
          <w:color w:val="211D1E"/>
          <w:sz w:val="24"/>
        </w:rPr>
        <w:t>and</w:t>
      </w:r>
      <w:r w:rsidR="009C4FE1">
        <w:rPr>
          <w:bCs/>
          <w:color w:val="211D1E"/>
          <w:sz w:val="24"/>
        </w:rPr>
        <w:t xml:space="preserve"> </w:t>
      </w:r>
      <w:r w:rsidR="00C54F58">
        <w:rPr>
          <w:bCs/>
          <w:color w:val="211D1E"/>
          <w:sz w:val="24"/>
        </w:rPr>
        <w:t xml:space="preserve">the </w:t>
      </w:r>
      <w:r w:rsidR="009C4FE1">
        <w:rPr>
          <w:bCs/>
          <w:color w:val="211D1E"/>
          <w:sz w:val="24"/>
        </w:rPr>
        <w:t>work already underway to meet them in Colorado:</w:t>
      </w:r>
    </w:p>
    <w:p w:rsidR="009C4FE1" w:rsidRDefault="009C4FE1" w:rsidP="001C64F3">
      <w:pPr>
        <w:jc w:val="both"/>
        <w:outlineLvl w:val="0"/>
        <w:rPr>
          <w:bCs/>
          <w:color w:val="211D1E"/>
          <w:sz w:val="24"/>
        </w:rPr>
      </w:pPr>
    </w:p>
    <w:p w:rsidR="005348C1" w:rsidRDefault="009C4FE1" w:rsidP="001C64F3">
      <w:pPr>
        <w:jc w:val="both"/>
        <w:outlineLvl w:val="0"/>
        <w:rPr>
          <w:bCs/>
          <w:color w:val="211D1E"/>
          <w:sz w:val="24"/>
        </w:rPr>
      </w:pPr>
      <w:r w:rsidRPr="005348C1">
        <w:rPr>
          <w:rStyle w:val="A1"/>
          <w:rFonts w:cs="Times New Roman"/>
          <w:sz w:val="24"/>
          <w:szCs w:val="24"/>
        </w:rPr>
        <w:t xml:space="preserve">1) </w:t>
      </w:r>
      <w:r w:rsidRPr="005348C1">
        <w:rPr>
          <w:bCs/>
          <w:color w:val="211D1E"/>
          <w:sz w:val="24"/>
        </w:rPr>
        <w:t>Base postsecondary credentials, including degrees, on learning</w:t>
      </w:r>
      <w:r w:rsidR="005348C1">
        <w:rPr>
          <w:bCs/>
          <w:color w:val="211D1E"/>
          <w:sz w:val="24"/>
        </w:rPr>
        <w:t>.</w:t>
      </w:r>
    </w:p>
    <w:p w:rsidR="005348C1" w:rsidRDefault="005348C1" w:rsidP="001C64F3">
      <w:pPr>
        <w:jc w:val="both"/>
        <w:outlineLvl w:val="0"/>
        <w:rPr>
          <w:bCs/>
          <w:color w:val="211D1E"/>
          <w:sz w:val="24"/>
        </w:rPr>
      </w:pPr>
    </w:p>
    <w:p w:rsidR="009C4FE1" w:rsidRPr="005348C1" w:rsidRDefault="009C4FE1" w:rsidP="005348C1">
      <w:pPr>
        <w:ind w:left="432" w:right="288"/>
        <w:jc w:val="both"/>
        <w:outlineLvl w:val="0"/>
        <w:rPr>
          <w:rStyle w:val="A1"/>
          <w:sz w:val="24"/>
          <w:szCs w:val="24"/>
        </w:rPr>
      </w:pPr>
      <w:r w:rsidRPr="00C96DA9">
        <w:rPr>
          <w:bCs/>
          <w:i/>
          <w:color w:val="211D1E"/>
          <w:sz w:val="24"/>
        </w:rPr>
        <w:t>“…</w:t>
      </w:r>
      <w:r w:rsidRPr="00C96DA9">
        <w:rPr>
          <w:rStyle w:val="A1"/>
          <w:i/>
          <w:sz w:val="24"/>
          <w:szCs w:val="24"/>
        </w:rPr>
        <w:t>learning outcomes must be transparent to employers, to educational institutions, and to students themselves”</w:t>
      </w:r>
      <w:r w:rsidR="001D6F0D" w:rsidRPr="00C96DA9">
        <w:rPr>
          <w:rStyle w:val="A1"/>
          <w:i/>
          <w:sz w:val="24"/>
          <w:szCs w:val="24"/>
        </w:rPr>
        <w:t xml:space="preserve"> (pg. 4).</w:t>
      </w:r>
      <w:r w:rsidRPr="005348C1">
        <w:rPr>
          <w:rStyle w:val="A1"/>
          <w:sz w:val="24"/>
          <w:szCs w:val="24"/>
        </w:rPr>
        <w:t xml:space="preserve"> This requirement is in line with Colorado’s gtPathways general education content and competency criteria that are currently undergoing revision by faculty and Directors of Assessment. This revision of gtPathways content and competency criteria</w:t>
      </w:r>
      <w:r w:rsidR="00352A47">
        <w:rPr>
          <w:rStyle w:val="A1"/>
          <w:sz w:val="24"/>
          <w:szCs w:val="24"/>
        </w:rPr>
        <w:t>,</w:t>
      </w:r>
      <w:r w:rsidRPr="005348C1">
        <w:rPr>
          <w:rStyle w:val="A1"/>
          <w:sz w:val="24"/>
          <w:szCs w:val="24"/>
        </w:rPr>
        <w:t xml:space="preserve"> into clear learning outcomes</w:t>
      </w:r>
      <w:r w:rsidR="00352A47">
        <w:rPr>
          <w:rStyle w:val="A1"/>
          <w:sz w:val="24"/>
          <w:szCs w:val="24"/>
        </w:rPr>
        <w:t>,</w:t>
      </w:r>
      <w:r w:rsidRPr="005348C1">
        <w:rPr>
          <w:rStyle w:val="A1"/>
          <w:sz w:val="24"/>
          <w:szCs w:val="24"/>
        </w:rPr>
        <w:t xml:space="preserve"> will facilitate the creation of assessments</w:t>
      </w:r>
      <w:r w:rsidR="005D298A">
        <w:rPr>
          <w:rStyle w:val="A1"/>
          <w:sz w:val="24"/>
          <w:szCs w:val="24"/>
        </w:rPr>
        <w:t>, which can be used</w:t>
      </w:r>
      <w:r w:rsidRPr="005348C1">
        <w:rPr>
          <w:rStyle w:val="A1"/>
          <w:sz w:val="24"/>
          <w:szCs w:val="24"/>
        </w:rPr>
        <w:t xml:space="preserve"> to evaluate students’ prior learning</w:t>
      </w:r>
      <w:r w:rsidR="005348C1" w:rsidRPr="005348C1">
        <w:rPr>
          <w:rStyle w:val="A1"/>
          <w:sz w:val="24"/>
          <w:szCs w:val="24"/>
        </w:rPr>
        <w:t>, thus creating more opportunities for students to get credit for the learning they have already completed and can demonstrate.</w:t>
      </w:r>
    </w:p>
    <w:p w:rsidR="005348C1" w:rsidRPr="005348C1" w:rsidRDefault="005348C1" w:rsidP="001C64F3">
      <w:pPr>
        <w:jc w:val="both"/>
        <w:outlineLvl w:val="0"/>
        <w:rPr>
          <w:rStyle w:val="A1"/>
          <w:sz w:val="24"/>
          <w:szCs w:val="24"/>
        </w:rPr>
      </w:pPr>
    </w:p>
    <w:p w:rsidR="005348C1" w:rsidRDefault="005348C1" w:rsidP="001C64F3">
      <w:pPr>
        <w:jc w:val="both"/>
        <w:outlineLvl w:val="0"/>
        <w:rPr>
          <w:color w:val="000000"/>
          <w:sz w:val="24"/>
        </w:rPr>
      </w:pPr>
      <w:r w:rsidRPr="005348C1">
        <w:rPr>
          <w:bCs/>
          <w:color w:val="211D1E"/>
          <w:sz w:val="24"/>
        </w:rPr>
        <w:t xml:space="preserve">2) </w:t>
      </w:r>
      <w:r w:rsidRPr="005348C1">
        <w:rPr>
          <w:color w:val="000000"/>
          <w:sz w:val="24"/>
        </w:rPr>
        <w:t>Create smarter pathways for all students</w:t>
      </w:r>
      <w:r>
        <w:rPr>
          <w:color w:val="000000"/>
          <w:sz w:val="24"/>
        </w:rPr>
        <w:t>.</w:t>
      </w:r>
    </w:p>
    <w:p w:rsidR="005348C1" w:rsidRDefault="005348C1" w:rsidP="001C64F3">
      <w:pPr>
        <w:jc w:val="both"/>
        <w:outlineLvl w:val="0"/>
        <w:rPr>
          <w:color w:val="000000"/>
          <w:sz w:val="24"/>
        </w:rPr>
      </w:pPr>
    </w:p>
    <w:p w:rsidR="00B41C94" w:rsidRPr="005348C1" w:rsidRDefault="005348C1" w:rsidP="005348C1">
      <w:pPr>
        <w:ind w:left="432" w:right="288"/>
        <w:jc w:val="both"/>
        <w:outlineLvl w:val="0"/>
        <w:rPr>
          <w:rStyle w:val="A1"/>
          <w:sz w:val="24"/>
          <w:szCs w:val="24"/>
        </w:rPr>
      </w:pPr>
      <w:r w:rsidRPr="00C96DA9">
        <w:rPr>
          <w:i/>
          <w:color w:val="000000"/>
          <w:sz w:val="24"/>
        </w:rPr>
        <w:t>“</w:t>
      </w:r>
      <w:r w:rsidRPr="00C96DA9">
        <w:rPr>
          <w:rStyle w:val="A1"/>
          <w:i/>
          <w:sz w:val="24"/>
          <w:szCs w:val="24"/>
        </w:rPr>
        <w:t>All learning should count, and all students should know what they can do next with the skills and knowledge they have acquired… [</w:t>
      </w:r>
      <w:proofErr w:type="gramStart"/>
      <w:r w:rsidRPr="00C96DA9">
        <w:rPr>
          <w:rStyle w:val="A1"/>
          <w:i/>
          <w:sz w:val="24"/>
          <w:szCs w:val="24"/>
        </w:rPr>
        <w:t>these</w:t>
      </w:r>
      <w:proofErr w:type="gramEnd"/>
      <w:r w:rsidRPr="00C96DA9">
        <w:rPr>
          <w:rStyle w:val="A1"/>
          <w:i/>
          <w:sz w:val="24"/>
          <w:szCs w:val="24"/>
        </w:rPr>
        <w:t xml:space="preserve"> pathways] should recognize and validate learning obtained in other settings, such as the military and in the workforce; </w:t>
      </w:r>
      <w:r w:rsidR="00D234B6" w:rsidRPr="00C96DA9">
        <w:rPr>
          <w:rStyle w:val="A1"/>
          <w:i/>
          <w:sz w:val="24"/>
          <w:szCs w:val="24"/>
        </w:rPr>
        <w:t xml:space="preserve">[and] </w:t>
      </w:r>
      <w:r w:rsidRPr="00C96DA9">
        <w:rPr>
          <w:rStyle w:val="A1"/>
          <w:i/>
          <w:sz w:val="24"/>
          <w:szCs w:val="24"/>
        </w:rPr>
        <w:t>they should facilitate students’ smooth transfer between</w:t>
      </w:r>
      <w:r w:rsidR="001D6F0D" w:rsidRPr="00C96DA9">
        <w:rPr>
          <w:rStyle w:val="A1"/>
          <w:i/>
          <w:sz w:val="24"/>
          <w:szCs w:val="24"/>
        </w:rPr>
        <w:t xml:space="preserve"> and among various institutions</w:t>
      </w:r>
      <w:r w:rsidRPr="00C96DA9">
        <w:rPr>
          <w:rStyle w:val="A1"/>
          <w:i/>
          <w:sz w:val="24"/>
          <w:szCs w:val="24"/>
        </w:rPr>
        <w:t>”</w:t>
      </w:r>
      <w:r w:rsidR="001D6F0D" w:rsidRPr="00C96DA9">
        <w:rPr>
          <w:rStyle w:val="A1"/>
          <w:i/>
          <w:sz w:val="24"/>
          <w:szCs w:val="24"/>
        </w:rPr>
        <w:t xml:space="preserve"> (pg. 4).</w:t>
      </w:r>
      <w:r w:rsidRPr="005348C1">
        <w:rPr>
          <w:rStyle w:val="A1"/>
          <w:sz w:val="24"/>
          <w:szCs w:val="24"/>
        </w:rPr>
        <w:t xml:space="preserve"> This is in line with Colorado’s </w:t>
      </w:r>
      <w:r w:rsidR="00352A47">
        <w:rPr>
          <w:rStyle w:val="A1"/>
          <w:sz w:val="24"/>
          <w:szCs w:val="24"/>
        </w:rPr>
        <w:t xml:space="preserve">gtPathways general education curriculum and </w:t>
      </w:r>
      <w:r w:rsidRPr="005348C1">
        <w:rPr>
          <w:rStyle w:val="A1"/>
          <w:sz w:val="24"/>
          <w:szCs w:val="24"/>
        </w:rPr>
        <w:t xml:space="preserve">twenty-eight statewide transfer articulation agreements, which can shorten the time it takes to earn a degree. </w:t>
      </w:r>
    </w:p>
    <w:p w:rsidR="005348C1" w:rsidRDefault="005348C1" w:rsidP="005348C1">
      <w:pPr>
        <w:ind w:left="432" w:right="288"/>
        <w:jc w:val="both"/>
        <w:outlineLvl w:val="0"/>
        <w:rPr>
          <w:sz w:val="24"/>
        </w:rPr>
      </w:pPr>
    </w:p>
    <w:p w:rsidR="005348C1" w:rsidRDefault="005348C1" w:rsidP="001C64F3">
      <w:pPr>
        <w:jc w:val="both"/>
        <w:outlineLvl w:val="0"/>
        <w:rPr>
          <w:bCs/>
          <w:color w:val="211D1E"/>
          <w:sz w:val="24"/>
        </w:rPr>
      </w:pPr>
      <w:r>
        <w:rPr>
          <w:color w:val="000000"/>
          <w:sz w:val="24"/>
        </w:rPr>
        <w:t xml:space="preserve">3. </w:t>
      </w:r>
      <w:r w:rsidRPr="009C4FE1">
        <w:rPr>
          <w:color w:val="000000"/>
          <w:sz w:val="24"/>
        </w:rPr>
        <w:t xml:space="preserve">Make higher education accessible and affordable to all </w:t>
      </w:r>
      <w:r w:rsidRPr="009C4FE1">
        <w:rPr>
          <w:bCs/>
          <w:color w:val="211D1E"/>
          <w:sz w:val="24"/>
        </w:rPr>
        <w:t>who need it</w:t>
      </w:r>
      <w:r>
        <w:rPr>
          <w:bCs/>
          <w:color w:val="211D1E"/>
          <w:sz w:val="24"/>
        </w:rPr>
        <w:t>.</w:t>
      </w:r>
    </w:p>
    <w:p w:rsidR="005348C1" w:rsidRDefault="005348C1" w:rsidP="001C64F3">
      <w:pPr>
        <w:jc w:val="both"/>
        <w:outlineLvl w:val="0"/>
        <w:rPr>
          <w:bCs/>
          <w:color w:val="211D1E"/>
          <w:sz w:val="24"/>
        </w:rPr>
      </w:pPr>
    </w:p>
    <w:p w:rsidR="005348C1" w:rsidRDefault="005348C1" w:rsidP="00296709">
      <w:pPr>
        <w:ind w:left="432" w:right="288"/>
        <w:jc w:val="both"/>
        <w:outlineLvl w:val="0"/>
        <w:rPr>
          <w:bCs/>
          <w:color w:val="211D1E"/>
          <w:sz w:val="24"/>
        </w:rPr>
      </w:pPr>
      <w:r>
        <w:rPr>
          <w:bCs/>
          <w:color w:val="211D1E"/>
          <w:sz w:val="24"/>
        </w:rPr>
        <w:t xml:space="preserve">By creating opportunities for Colorado students to earn college credit for the </w:t>
      </w:r>
      <w:r w:rsidR="00DA6554">
        <w:rPr>
          <w:bCs/>
          <w:color w:val="211D1E"/>
          <w:sz w:val="24"/>
        </w:rPr>
        <w:t>competencies</w:t>
      </w:r>
      <w:r>
        <w:rPr>
          <w:bCs/>
          <w:color w:val="211D1E"/>
          <w:sz w:val="24"/>
        </w:rPr>
        <w:t xml:space="preserve"> they have </w:t>
      </w:r>
      <w:r w:rsidR="00DA6554">
        <w:rPr>
          <w:bCs/>
          <w:color w:val="211D1E"/>
          <w:sz w:val="24"/>
        </w:rPr>
        <w:t>mastered</w:t>
      </w:r>
      <w:r w:rsidR="00296709">
        <w:rPr>
          <w:bCs/>
          <w:color w:val="211D1E"/>
          <w:sz w:val="24"/>
        </w:rPr>
        <w:t xml:space="preserve"> and, by guaranteeing the application of that credit to receiving institutions’ equivalent degree requirements when students transfer, the state can help </w:t>
      </w:r>
      <w:r w:rsidR="00013747">
        <w:rPr>
          <w:bCs/>
          <w:color w:val="211D1E"/>
          <w:sz w:val="24"/>
        </w:rPr>
        <w:t xml:space="preserve">incent students to enter higher education, can </w:t>
      </w:r>
      <w:r w:rsidR="00296709">
        <w:rPr>
          <w:bCs/>
          <w:color w:val="211D1E"/>
          <w:sz w:val="24"/>
        </w:rPr>
        <w:t xml:space="preserve">shorten time to completion and </w:t>
      </w:r>
      <w:r w:rsidR="00013747">
        <w:rPr>
          <w:bCs/>
          <w:color w:val="211D1E"/>
          <w:sz w:val="24"/>
        </w:rPr>
        <w:t xml:space="preserve">will </w:t>
      </w:r>
      <w:r w:rsidR="00296709">
        <w:rPr>
          <w:bCs/>
          <w:color w:val="211D1E"/>
          <w:sz w:val="24"/>
        </w:rPr>
        <w:t xml:space="preserve">save </w:t>
      </w:r>
      <w:r w:rsidR="00013747">
        <w:rPr>
          <w:bCs/>
          <w:color w:val="211D1E"/>
          <w:sz w:val="24"/>
        </w:rPr>
        <w:t xml:space="preserve">students </w:t>
      </w:r>
      <w:r w:rsidR="00296709">
        <w:rPr>
          <w:bCs/>
          <w:color w:val="211D1E"/>
          <w:sz w:val="24"/>
        </w:rPr>
        <w:t>money on tuition and other expenses related with seat time-based coursework.</w:t>
      </w:r>
    </w:p>
    <w:p w:rsidR="00296709" w:rsidRPr="005348C1" w:rsidRDefault="00296709" w:rsidP="001C64F3">
      <w:pPr>
        <w:jc w:val="both"/>
        <w:outlineLvl w:val="0"/>
        <w:rPr>
          <w:sz w:val="24"/>
        </w:rPr>
      </w:pPr>
    </w:p>
    <w:p w:rsidR="00BB2E12" w:rsidRDefault="00BB2E12" w:rsidP="001C64F3">
      <w:pPr>
        <w:jc w:val="both"/>
        <w:outlineLvl w:val="0"/>
        <w:rPr>
          <w:i/>
          <w:sz w:val="24"/>
        </w:rPr>
      </w:pPr>
    </w:p>
    <w:p w:rsidR="00647983" w:rsidRDefault="00647983" w:rsidP="001C64F3">
      <w:pPr>
        <w:jc w:val="both"/>
        <w:outlineLvl w:val="0"/>
        <w:rPr>
          <w:i/>
          <w:sz w:val="24"/>
        </w:rPr>
      </w:pPr>
      <w:r w:rsidRPr="00647983">
        <w:rPr>
          <w:i/>
          <w:sz w:val="24"/>
        </w:rPr>
        <w:t>Adult Learning</w:t>
      </w:r>
    </w:p>
    <w:p w:rsidR="00647983" w:rsidRDefault="00647983" w:rsidP="001C64F3">
      <w:pPr>
        <w:jc w:val="both"/>
        <w:outlineLvl w:val="0"/>
        <w:rPr>
          <w:i/>
          <w:sz w:val="24"/>
        </w:rPr>
      </w:pPr>
    </w:p>
    <w:p w:rsidR="00634E5C" w:rsidRDefault="00D234B6" w:rsidP="003653E8">
      <w:pPr>
        <w:jc w:val="both"/>
        <w:outlineLvl w:val="0"/>
        <w:rPr>
          <w:bCs/>
          <w:sz w:val="24"/>
        </w:rPr>
      </w:pPr>
      <w:r>
        <w:rPr>
          <w:sz w:val="24"/>
        </w:rPr>
        <w:t>A statewide Prior Learning Assessment (PLA) policy can help Colorado achieve its goals, especially when it comes to attracting adults with some college</w:t>
      </w:r>
      <w:r w:rsidR="00634E5C">
        <w:rPr>
          <w:sz w:val="24"/>
        </w:rPr>
        <w:t>,</w:t>
      </w:r>
      <w:r>
        <w:rPr>
          <w:sz w:val="24"/>
        </w:rPr>
        <w:t xml:space="preserve"> but no degree</w:t>
      </w:r>
      <w:r w:rsidR="00634E5C">
        <w:rPr>
          <w:sz w:val="24"/>
        </w:rPr>
        <w:t>,</w:t>
      </w:r>
      <w:r>
        <w:rPr>
          <w:sz w:val="24"/>
        </w:rPr>
        <w:t xml:space="preserve"> back to higher education. According to the Lumina Foundation (2014, pg. 34), there are 651,179 </w:t>
      </w:r>
      <w:r w:rsidRPr="00EC28DA">
        <w:rPr>
          <w:rStyle w:val="A10"/>
          <w:rFonts w:cs="Times New Roman"/>
          <w:color w:val="auto"/>
          <w:sz w:val="24"/>
          <w:szCs w:val="24"/>
        </w:rPr>
        <w:t>Colorado residents, ages 25-64</w:t>
      </w:r>
      <w:r>
        <w:rPr>
          <w:rStyle w:val="A10"/>
          <w:rFonts w:cs="Times New Roman"/>
          <w:color w:val="auto"/>
          <w:sz w:val="24"/>
          <w:szCs w:val="24"/>
        </w:rPr>
        <w:t>, with s</w:t>
      </w:r>
      <w:r w:rsidRPr="00EC28DA">
        <w:rPr>
          <w:sz w:val="24"/>
        </w:rPr>
        <w:t xml:space="preserve">ome college, </w:t>
      </w:r>
      <w:r>
        <w:rPr>
          <w:sz w:val="24"/>
        </w:rPr>
        <w:t xml:space="preserve">but </w:t>
      </w:r>
      <w:r w:rsidRPr="00EC28DA">
        <w:rPr>
          <w:sz w:val="24"/>
        </w:rPr>
        <w:t>no degree</w:t>
      </w:r>
      <w:r w:rsidRPr="00EC28DA">
        <w:rPr>
          <w:rStyle w:val="A4"/>
          <w:rFonts w:cs="Times New Roman"/>
          <w:color w:val="auto"/>
          <w:sz w:val="24"/>
          <w:szCs w:val="24"/>
        </w:rPr>
        <w:t>.</w:t>
      </w:r>
      <w:r w:rsidR="00634E5C">
        <w:rPr>
          <w:rStyle w:val="A4"/>
          <w:rFonts w:cs="Times New Roman"/>
          <w:i w:val="0"/>
          <w:color w:val="auto"/>
          <w:sz w:val="24"/>
          <w:szCs w:val="24"/>
        </w:rPr>
        <w:t xml:space="preserve"> </w:t>
      </w:r>
      <w:r w:rsidR="00634E5C">
        <w:rPr>
          <w:bCs/>
          <w:sz w:val="24"/>
        </w:rPr>
        <w:t>Given that Colorado must increase degrees awarded to meet its goal (</w:t>
      </w:r>
      <w:r w:rsidR="00AB7370">
        <w:rPr>
          <w:bCs/>
          <w:sz w:val="24"/>
        </w:rPr>
        <w:t>Figure</w:t>
      </w:r>
      <w:r w:rsidR="00634E5C">
        <w:rPr>
          <w:bCs/>
          <w:sz w:val="24"/>
        </w:rPr>
        <w:t xml:space="preserve"> 1 below)</w:t>
      </w:r>
      <w:r w:rsidR="00A56E6C">
        <w:rPr>
          <w:bCs/>
          <w:sz w:val="24"/>
        </w:rPr>
        <w:t>,</w:t>
      </w:r>
      <w:r w:rsidR="00634E5C">
        <w:rPr>
          <w:bCs/>
          <w:sz w:val="24"/>
        </w:rPr>
        <w:t xml:space="preserve"> and given that adults with some college but no degree are a significant proportion of the population (22.98%), a statewide PLA policy</w:t>
      </w:r>
      <w:r w:rsidR="00C54F58">
        <w:rPr>
          <w:bCs/>
          <w:sz w:val="24"/>
        </w:rPr>
        <w:t xml:space="preserve"> should </w:t>
      </w:r>
      <w:r w:rsidR="00C54F58">
        <w:rPr>
          <w:bCs/>
          <w:sz w:val="24"/>
        </w:rPr>
        <w:lastRenderedPageBreak/>
        <w:t>contain provisions</w:t>
      </w:r>
      <w:r w:rsidR="00634E5C">
        <w:rPr>
          <w:bCs/>
          <w:sz w:val="24"/>
        </w:rPr>
        <w:t xml:space="preserve"> that will attract these individuals back to higher education to complete their credentials.</w:t>
      </w:r>
      <w:r w:rsidR="00A56E6C">
        <w:rPr>
          <w:bCs/>
          <w:sz w:val="24"/>
        </w:rPr>
        <w:t xml:space="preserve"> </w:t>
      </w:r>
    </w:p>
    <w:p w:rsidR="00634E5C" w:rsidRDefault="00634E5C" w:rsidP="00634E5C">
      <w:pPr>
        <w:pStyle w:val="ListParagraph"/>
        <w:ind w:left="0"/>
        <w:jc w:val="both"/>
        <w:outlineLvl w:val="0"/>
        <w:rPr>
          <w:rFonts w:ascii="Times New Roman" w:hAnsi="Times New Roman"/>
          <w:bCs/>
          <w:sz w:val="24"/>
        </w:rPr>
      </w:pPr>
    </w:p>
    <w:p w:rsidR="008138FB" w:rsidRDefault="008138FB" w:rsidP="00634E5C">
      <w:pPr>
        <w:pStyle w:val="ListParagraph"/>
        <w:ind w:left="0"/>
        <w:jc w:val="both"/>
        <w:outlineLvl w:val="0"/>
        <w:rPr>
          <w:rFonts w:ascii="Times New Roman" w:hAnsi="Times New Roman"/>
          <w:bCs/>
          <w:sz w:val="24"/>
        </w:rPr>
      </w:pPr>
    </w:p>
    <w:p w:rsidR="00634E5C" w:rsidRPr="00634E5C" w:rsidRDefault="00AB7370" w:rsidP="00634E5C">
      <w:pPr>
        <w:pStyle w:val="ListParagraph"/>
        <w:ind w:left="0"/>
        <w:jc w:val="both"/>
        <w:outlineLvl w:val="0"/>
        <w:rPr>
          <w:rFonts w:ascii="Times New Roman" w:hAnsi="Times New Roman"/>
          <w:b/>
          <w:bCs/>
          <w:sz w:val="24"/>
        </w:rPr>
      </w:pPr>
      <w:r>
        <w:rPr>
          <w:rFonts w:ascii="Times New Roman" w:hAnsi="Times New Roman"/>
          <w:b/>
          <w:bCs/>
          <w:sz w:val="24"/>
        </w:rPr>
        <w:t>Figure</w:t>
      </w:r>
      <w:r w:rsidR="00634E5C" w:rsidRPr="00634E5C">
        <w:rPr>
          <w:rFonts w:ascii="Times New Roman" w:hAnsi="Times New Roman"/>
          <w:b/>
          <w:bCs/>
          <w:sz w:val="24"/>
        </w:rPr>
        <w:t xml:space="preserve"> 1: The Path to 60% Degree Attainment in Colorado</w:t>
      </w:r>
    </w:p>
    <w:p w:rsidR="00EC28DA" w:rsidRDefault="00276F2E" w:rsidP="001D6F0D">
      <w:pPr>
        <w:jc w:val="both"/>
        <w:outlineLvl w:val="0"/>
        <w:rPr>
          <w:bCs/>
          <w:sz w:val="24"/>
        </w:rPr>
      </w:pPr>
      <w:r>
        <w:rPr>
          <w:bCs/>
          <w:noProof/>
          <w:sz w:val="24"/>
        </w:rPr>
        <w:drawing>
          <wp:inline distT="0" distB="0" distL="0" distR="0" wp14:anchorId="463E97E2" wp14:editId="6A558527">
            <wp:extent cx="5943600" cy="2116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116455"/>
                    </a:xfrm>
                    <a:prstGeom prst="rect">
                      <a:avLst/>
                    </a:prstGeom>
                  </pic:spPr>
                </pic:pic>
              </a:graphicData>
            </a:graphic>
          </wp:inline>
        </w:drawing>
      </w:r>
    </w:p>
    <w:p w:rsidR="001D6F0D" w:rsidRPr="00B20B50" w:rsidRDefault="00276F2E" w:rsidP="001C64F3">
      <w:pPr>
        <w:jc w:val="both"/>
        <w:outlineLvl w:val="0"/>
        <w:rPr>
          <w:rStyle w:val="A1"/>
          <w:color w:val="auto"/>
          <w:sz w:val="24"/>
          <w:szCs w:val="24"/>
        </w:rPr>
      </w:pPr>
      <w:proofErr w:type="gramStart"/>
      <w:r w:rsidRPr="00276F2E">
        <w:rPr>
          <w:rStyle w:val="A1"/>
          <w:color w:val="auto"/>
          <w:sz w:val="24"/>
          <w:szCs w:val="24"/>
        </w:rPr>
        <w:t>Lumina Foundation (2014, pg. 34</w:t>
      </w:r>
      <w:r w:rsidR="00634E5C">
        <w:rPr>
          <w:rStyle w:val="A4"/>
          <w:color w:val="auto"/>
          <w:sz w:val="24"/>
          <w:szCs w:val="24"/>
        </w:rPr>
        <w:t>)</w:t>
      </w:r>
      <w:r w:rsidR="00B20B50">
        <w:rPr>
          <w:rStyle w:val="A4"/>
          <w:color w:val="auto"/>
          <w:sz w:val="24"/>
          <w:szCs w:val="24"/>
        </w:rPr>
        <w:t>.</w:t>
      </w:r>
      <w:proofErr w:type="gramEnd"/>
      <w:r w:rsidR="00B20B50">
        <w:rPr>
          <w:rStyle w:val="A4"/>
          <w:color w:val="auto"/>
          <w:sz w:val="24"/>
          <w:szCs w:val="24"/>
        </w:rPr>
        <w:t xml:space="preserve"> </w:t>
      </w:r>
      <w:r w:rsidR="00B20B50">
        <w:rPr>
          <w:rStyle w:val="A4"/>
          <w:i w:val="0"/>
          <w:color w:val="auto"/>
          <w:sz w:val="24"/>
          <w:szCs w:val="24"/>
        </w:rPr>
        <w:t>*Note: The Commission’s goal is 66%.</w:t>
      </w:r>
    </w:p>
    <w:p w:rsidR="002A5701" w:rsidRDefault="002A5701" w:rsidP="001C64F3">
      <w:pPr>
        <w:jc w:val="both"/>
        <w:outlineLvl w:val="0"/>
        <w:rPr>
          <w:sz w:val="24"/>
        </w:rPr>
      </w:pPr>
    </w:p>
    <w:p w:rsidR="002A5701" w:rsidRPr="002A5701" w:rsidRDefault="002A5701" w:rsidP="001C64F3">
      <w:pPr>
        <w:jc w:val="both"/>
        <w:outlineLvl w:val="0"/>
        <w:rPr>
          <w:sz w:val="24"/>
        </w:rPr>
      </w:pPr>
    </w:p>
    <w:p w:rsidR="00647983" w:rsidRDefault="00647983" w:rsidP="001C64F3">
      <w:pPr>
        <w:jc w:val="both"/>
        <w:outlineLvl w:val="0"/>
        <w:rPr>
          <w:i/>
          <w:sz w:val="24"/>
        </w:rPr>
      </w:pPr>
    </w:p>
    <w:p w:rsidR="00647983" w:rsidRPr="00013747" w:rsidRDefault="00647983" w:rsidP="001C64F3">
      <w:pPr>
        <w:jc w:val="both"/>
        <w:outlineLvl w:val="0"/>
        <w:rPr>
          <w:b/>
          <w:sz w:val="24"/>
        </w:rPr>
      </w:pPr>
      <w:r w:rsidRPr="00013747">
        <w:rPr>
          <w:b/>
          <w:sz w:val="24"/>
        </w:rPr>
        <w:t>Prior Learning Assessment (PLA)</w:t>
      </w:r>
    </w:p>
    <w:p w:rsidR="00647983" w:rsidRDefault="00647983" w:rsidP="001C64F3">
      <w:pPr>
        <w:jc w:val="both"/>
        <w:outlineLvl w:val="0"/>
        <w:rPr>
          <w:i/>
          <w:sz w:val="24"/>
        </w:rPr>
      </w:pPr>
    </w:p>
    <w:p w:rsidR="00B20B50" w:rsidRDefault="00B20B50" w:rsidP="00B20B50">
      <w:pPr>
        <w:autoSpaceDE w:val="0"/>
        <w:autoSpaceDN w:val="0"/>
        <w:adjustRightInd w:val="0"/>
        <w:spacing w:line="241" w:lineRule="atLeast"/>
        <w:jc w:val="both"/>
        <w:rPr>
          <w:sz w:val="24"/>
        </w:rPr>
      </w:pPr>
      <w:r w:rsidRPr="00B20B50">
        <w:rPr>
          <w:sz w:val="24"/>
        </w:rPr>
        <w:t xml:space="preserve">Jamie P. </w:t>
      </w:r>
      <w:proofErr w:type="spellStart"/>
      <w:proofErr w:type="gramStart"/>
      <w:r w:rsidRPr="00B20B50">
        <w:rPr>
          <w:sz w:val="24"/>
        </w:rPr>
        <w:t>Merisotis</w:t>
      </w:r>
      <w:proofErr w:type="spellEnd"/>
      <w:r w:rsidRPr="00B20B50">
        <w:rPr>
          <w:sz w:val="24"/>
        </w:rPr>
        <w:t xml:space="preserve"> ,</w:t>
      </w:r>
      <w:proofErr w:type="gramEnd"/>
      <w:r w:rsidRPr="00B20B50">
        <w:rPr>
          <w:sz w:val="24"/>
        </w:rPr>
        <w:t xml:space="preserve"> President and CEO, Lumina Foundation </w:t>
      </w:r>
      <w:r>
        <w:rPr>
          <w:sz w:val="24"/>
        </w:rPr>
        <w:t>(2014) explains,</w:t>
      </w:r>
    </w:p>
    <w:p w:rsidR="00B20B50" w:rsidRDefault="00B20B50" w:rsidP="00B20B50">
      <w:pPr>
        <w:autoSpaceDE w:val="0"/>
        <w:autoSpaceDN w:val="0"/>
        <w:adjustRightInd w:val="0"/>
        <w:spacing w:line="241" w:lineRule="atLeast"/>
        <w:jc w:val="both"/>
        <w:rPr>
          <w:sz w:val="24"/>
        </w:rPr>
      </w:pPr>
    </w:p>
    <w:p w:rsidR="00B20B50" w:rsidRPr="00C96DA9" w:rsidRDefault="00B20B50" w:rsidP="00B20B50">
      <w:pPr>
        <w:autoSpaceDE w:val="0"/>
        <w:autoSpaceDN w:val="0"/>
        <w:adjustRightInd w:val="0"/>
        <w:spacing w:line="241" w:lineRule="atLeast"/>
        <w:ind w:left="576" w:right="432"/>
        <w:jc w:val="both"/>
        <w:rPr>
          <w:rStyle w:val="A1"/>
          <w:rFonts w:cs="Times New Roman"/>
          <w:i/>
          <w:color w:val="auto"/>
          <w:sz w:val="24"/>
          <w:szCs w:val="24"/>
        </w:rPr>
      </w:pPr>
      <w:r w:rsidRPr="00C96DA9">
        <w:rPr>
          <w:i/>
          <w:sz w:val="24"/>
        </w:rPr>
        <w:t>…</w:t>
      </w:r>
      <w:r w:rsidRPr="00C96DA9">
        <w:rPr>
          <w:rStyle w:val="A1"/>
          <w:rFonts w:cs="Times New Roman"/>
          <w:i/>
          <w:color w:val="auto"/>
          <w:sz w:val="24"/>
          <w:szCs w:val="24"/>
        </w:rPr>
        <w:t>within the higher-</w:t>
      </w:r>
      <w:proofErr w:type="spellStart"/>
      <w:r w:rsidRPr="00C96DA9">
        <w:rPr>
          <w:rStyle w:val="A1"/>
          <w:rFonts w:cs="Times New Roman"/>
          <w:i/>
          <w:color w:val="auto"/>
          <w:sz w:val="24"/>
          <w:szCs w:val="24"/>
        </w:rPr>
        <w:t>ed</w:t>
      </w:r>
      <w:proofErr w:type="spellEnd"/>
      <w:r w:rsidRPr="00C96DA9">
        <w:rPr>
          <w:rStyle w:val="A1"/>
          <w:rFonts w:cs="Times New Roman"/>
          <w:i/>
          <w:color w:val="auto"/>
          <w:sz w:val="24"/>
          <w:szCs w:val="24"/>
        </w:rPr>
        <w:t xml:space="preserve"> system, there is growing acceptance of learning obtained outside the classroom, such as in the workplace or the military. In addition, many new competency-based approaches are being pioneered nationally. These programs and institutions award credit, not merely because students have spent a certain amount of time enrolled in courses, but because they have demonstrated genuine learning. Sectors beyond higher </w:t>
      </w:r>
      <w:proofErr w:type="spellStart"/>
      <w:proofErr w:type="gramStart"/>
      <w:r w:rsidRPr="00C96DA9">
        <w:rPr>
          <w:rStyle w:val="A1"/>
          <w:rFonts w:cs="Times New Roman"/>
          <w:i/>
          <w:color w:val="auto"/>
          <w:sz w:val="24"/>
          <w:szCs w:val="24"/>
        </w:rPr>
        <w:t>ed</w:t>
      </w:r>
      <w:proofErr w:type="spellEnd"/>
      <w:proofErr w:type="gramEnd"/>
      <w:r w:rsidRPr="00C96DA9">
        <w:rPr>
          <w:rStyle w:val="A1"/>
          <w:rFonts w:cs="Times New Roman"/>
          <w:i/>
          <w:color w:val="auto"/>
          <w:sz w:val="24"/>
          <w:szCs w:val="24"/>
        </w:rPr>
        <w:t xml:space="preserve"> are responding to the challenge and embracing change as well. Industry groups are stepping up efforts to offer or refine their own methods for assessing and certifying students’ learning and fitness for jobs. (pg. 1)</w:t>
      </w:r>
    </w:p>
    <w:p w:rsidR="00B20B50" w:rsidRDefault="00B20B50" w:rsidP="002A5701">
      <w:pPr>
        <w:jc w:val="both"/>
        <w:outlineLvl w:val="0"/>
        <w:rPr>
          <w:sz w:val="24"/>
        </w:rPr>
      </w:pPr>
    </w:p>
    <w:p w:rsidR="002A5701" w:rsidRDefault="00B20B50" w:rsidP="002A5701">
      <w:pPr>
        <w:jc w:val="both"/>
        <w:outlineLvl w:val="0"/>
        <w:rPr>
          <w:sz w:val="24"/>
        </w:rPr>
      </w:pPr>
      <w:r>
        <w:rPr>
          <w:sz w:val="24"/>
        </w:rPr>
        <w:t xml:space="preserve">Learning obtained outside the classroom can be assessed and documented through a wide variety of types of Prior Learning Assessment (PLA). </w:t>
      </w:r>
      <w:r w:rsidR="002A5701">
        <w:rPr>
          <w:sz w:val="24"/>
        </w:rPr>
        <w:t>The State of Tennessee</w:t>
      </w:r>
      <w:r w:rsidR="003A15A7">
        <w:rPr>
          <w:sz w:val="24"/>
        </w:rPr>
        <w:t xml:space="preserve">’s (2014) </w:t>
      </w:r>
      <w:r>
        <w:rPr>
          <w:sz w:val="24"/>
        </w:rPr>
        <w:t>PLA</w:t>
      </w:r>
      <w:r w:rsidR="003A15A7">
        <w:rPr>
          <w:sz w:val="24"/>
        </w:rPr>
        <w:t xml:space="preserve"> </w:t>
      </w:r>
      <w:r w:rsidR="002A5701">
        <w:rPr>
          <w:sz w:val="24"/>
        </w:rPr>
        <w:t xml:space="preserve">website </w:t>
      </w:r>
      <w:r w:rsidR="003A15A7">
        <w:rPr>
          <w:sz w:val="24"/>
        </w:rPr>
        <w:t xml:space="preserve">concisely </w:t>
      </w:r>
      <w:r w:rsidR="00B32374">
        <w:rPr>
          <w:sz w:val="24"/>
        </w:rPr>
        <w:t xml:space="preserve">explains the rationale for and </w:t>
      </w:r>
      <w:r w:rsidR="003A15A7">
        <w:rPr>
          <w:sz w:val="24"/>
        </w:rPr>
        <w:t xml:space="preserve">defines different types of </w:t>
      </w:r>
      <w:r>
        <w:rPr>
          <w:sz w:val="24"/>
        </w:rPr>
        <w:t>PLA</w:t>
      </w:r>
      <w:r w:rsidR="003A15A7">
        <w:rPr>
          <w:sz w:val="24"/>
        </w:rPr>
        <w:t>:</w:t>
      </w:r>
      <w:r w:rsidR="002A5701">
        <w:rPr>
          <w:sz w:val="24"/>
        </w:rPr>
        <w:t xml:space="preserve"> </w:t>
      </w:r>
    </w:p>
    <w:p w:rsidR="002A5701" w:rsidRDefault="002A5701" w:rsidP="002A5701">
      <w:pPr>
        <w:jc w:val="both"/>
        <w:outlineLvl w:val="0"/>
        <w:rPr>
          <w:sz w:val="24"/>
        </w:rPr>
      </w:pPr>
    </w:p>
    <w:p w:rsidR="002A5701" w:rsidRPr="00377B19" w:rsidRDefault="002A5701" w:rsidP="002A5701">
      <w:pPr>
        <w:pStyle w:val="ListParagraph"/>
        <w:numPr>
          <w:ilvl w:val="0"/>
          <w:numId w:val="4"/>
        </w:numPr>
        <w:spacing w:after="120" w:line="240" w:lineRule="auto"/>
        <w:ind w:left="504"/>
        <w:contextualSpacing w:val="0"/>
        <w:jc w:val="both"/>
        <w:outlineLvl w:val="0"/>
        <w:rPr>
          <w:rFonts w:ascii="Times New Roman" w:hAnsi="Times New Roman"/>
          <w:sz w:val="24"/>
          <w:szCs w:val="24"/>
        </w:rPr>
      </w:pPr>
      <w:r w:rsidRPr="00377B19">
        <w:rPr>
          <w:rFonts w:ascii="Times New Roman" w:hAnsi="Times New Roman"/>
          <w:sz w:val="24"/>
          <w:szCs w:val="24"/>
        </w:rPr>
        <w:t>Prior learning assessment (PLA) is a powerful resource to help you earn a college degree through demonstrating learning that takes place through work, employer training programs, military service, independent study, and voluntary or community service.</w:t>
      </w:r>
    </w:p>
    <w:p w:rsidR="002A5701" w:rsidRPr="00377B19" w:rsidRDefault="002A5701" w:rsidP="002A5701">
      <w:pPr>
        <w:pStyle w:val="ListParagraph"/>
        <w:numPr>
          <w:ilvl w:val="0"/>
          <w:numId w:val="4"/>
        </w:numPr>
        <w:spacing w:after="120" w:line="240" w:lineRule="auto"/>
        <w:ind w:left="504"/>
        <w:contextualSpacing w:val="0"/>
        <w:jc w:val="both"/>
        <w:outlineLvl w:val="0"/>
        <w:rPr>
          <w:rFonts w:ascii="Times New Roman" w:hAnsi="Times New Roman"/>
          <w:sz w:val="24"/>
          <w:szCs w:val="24"/>
        </w:rPr>
      </w:pPr>
      <w:r w:rsidRPr="00377B19">
        <w:rPr>
          <w:rFonts w:ascii="Times New Roman" w:hAnsi="Times New Roman"/>
          <w:sz w:val="24"/>
          <w:szCs w:val="24"/>
        </w:rPr>
        <w:t xml:space="preserve">PLA is beneficial for working adults, individuals with families, learners who have substantial work or service experience and can demonstrate college-level learning, and those </w:t>
      </w:r>
      <w:r w:rsidR="00B32374">
        <w:rPr>
          <w:rFonts w:ascii="Times New Roman" w:hAnsi="Times New Roman"/>
          <w:sz w:val="24"/>
          <w:szCs w:val="24"/>
        </w:rPr>
        <w:t xml:space="preserve">who </w:t>
      </w:r>
      <w:r w:rsidRPr="00377B19">
        <w:rPr>
          <w:rFonts w:ascii="Times New Roman" w:hAnsi="Times New Roman"/>
          <w:sz w:val="24"/>
          <w:szCs w:val="24"/>
        </w:rPr>
        <w:t>have delayed college and are ready to take the next step toward a college degree.</w:t>
      </w:r>
    </w:p>
    <w:p w:rsidR="002A5701" w:rsidRDefault="002A5701" w:rsidP="002A5701">
      <w:pPr>
        <w:jc w:val="both"/>
        <w:outlineLvl w:val="0"/>
        <w:rPr>
          <w:rFonts w:ascii="Arial" w:hAnsi="Arial" w:cs="Arial"/>
          <w:sz w:val="18"/>
          <w:szCs w:val="18"/>
        </w:rPr>
      </w:pPr>
    </w:p>
    <w:p w:rsidR="002205F6" w:rsidRDefault="002205F6" w:rsidP="002A5701">
      <w:pPr>
        <w:jc w:val="both"/>
        <w:outlineLvl w:val="0"/>
        <w:rPr>
          <w:sz w:val="24"/>
        </w:rPr>
      </w:pPr>
    </w:p>
    <w:p w:rsidR="002A5701" w:rsidRPr="00E64900" w:rsidRDefault="002A5701" w:rsidP="002A5701">
      <w:pPr>
        <w:jc w:val="both"/>
        <w:outlineLvl w:val="0"/>
        <w:rPr>
          <w:sz w:val="24"/>
        </w:rPr>
      </w:pPr>
      <w:r w:rsidRPr="00E64900">
        <w:rPr>
          <w:sz w:val="24"/>
        </w:rPr>
        <w:lastRenderedPageBreak/>
        <w:t>Common forms of PLA include, but are not limited to:</w:t>
      </w:r>
    </w:p>
    <w:p w:rsidR="002A5701" w:rsidRPr="005B1725" w:rsidRDefault="002A5701" w:rsidP="002A5701">
      <w:pPr>
        <w:jc w:val="both"/>
        <w:outlineLvl w:val="0"/>
        <w:rPr>
          <w:sz w:val="24"/>
        </w:rPr>
      </w:pPr>
    </w:p>
    <w:p w:rsidR="00D81245" w:rsidRPr="005B1725" w:rsidRDefault="00A279F0" w:rsidP="005B1725">
      <w:pPr>
        <w:pStyle w:val="ListParagraph"/>
        <w:numPr>
          <w:ilvl w:val="0"/>
          <w:numId w:val="32"/>
        </w:numPr>
        <w:spacing w:after="120" w:line="240" w:lineRule="auto"/>
        <w:contextualSpacing w:val="0"/>
        <w:jc w:val="both"/>
        <w:outlineLvl w:val="0"/>
        <w:rPr>
          <w:rFonts w:ascii="Times New Roman" w:hAnsi="Times New Roman"/>
          <w:sz w:val="24"/>
          <w:szCs w:val="24"/>
          <w:u w:val="single"/>
        </w:rPr>
      </w:pPr>
      <w:r>
        <w:rPr>
          <w:rFonts w:ascii="Times New Roman" w:hAnsi="Times New Roman"/>
          <w:sz w:val="24"/>
          <w:szCs w:val="24"/>
          <w:u w:val="single"/>
        </w:rPr>
        <w:t>Standardized Exams</w:t>
      </w:r>
    </w:p>
    <w:p w:rsidR="002A5701" w:rsidRPr="005B1725" w:rsidRDefault="002A5701" w:rsidP="005B1725">
      <w:pPr>
        <w:pStyle w:val="ListParagraph"/>
        <w:numPr>
          <w:ilvl w:val="0"/>
          <w:numId w:val="33"/>
        </w:numPr>
        <w:spacing w:after="120" w:line="240" w:lineRule="auto"/>
        <w:contextualSpacing w:val="0"/>
        <w:jc w:val="both"/>
        <w:rPr>
          <w:rFonts w:ascii="Times New Roman" w:hAnsi="Times New Roman"/>
          <w:sz w:val="24"/>
          <w:szCs w:val="24"/>
        </w:rPr>
      </w:pPr>
      <w:r w:rsidRPr="005B1725">
        <w:rPr>
          <w:rStyle w:val="Strong"/>
          <w:rFonts w:ascii="Times New Roman" w:hAnsi="Times New Roman"/>
          <w:b w:val="0"/>
          <w:sz w:val="24"/>
          <w:szCs w:val="24"/>
        </w:rPr>
        <w:t>Advanced Placement (AP) Exams</w:t>
      </w:r>
      <w:r w:rsidR="003653E8" w:rsidRPr="005B1725">
        <w:rPr>
          <w:rStyle w:val="Strong"/>
          <w:rFonts w:ascii="Times New Roman" w:hAnsi="Times New Roman"/>
          <w:b w:val="0"/>
          <w:sz w:val="24"/>
          <w:szCs w:val="24"/>
        </w:rPr>
        <w:t xml:space="preserve"> – 35 exams in </w:t>
      </w:r>
      <w:r w:rsidR="003653E8" w:rsidRPr="005B1725">
        <w:rPr>
          <w:rFonts w:ascii="Times New Roman" w:hAnsi="Times New Roman"/>
          <w:sz w:val="24"/>
          <w:szCs w:val="24"/>
        </w:rPr>
        <w:t>5 general education areas</w:t>
      </w:r>
    </w:p>
    <w:p w:rsidR="002A5701" w:rsidRPr="005B1725" w:rsidRDefault="002A5701" w:rsidP="005B1725">
      <w:pPr>
        <w:pStyle w:val="ListParagraph"/>
        <w:numPr>
          <w:ilvl w:val="0"/>
          <w:numId w:val="33"/>
        </w:numPr>
        <w:spacing w:after="120" w:line="240" w:lineRule="auto"/>
        <w:contextualSpacing w:val="0"/>
        <w:jc w:val="both"/>
        <w:rPr>
          <w:rFonts w:ascii="Times New Roman" w:hAnsi="Times New Roman"/>
          <w:sz w:val="24"/>
          <w:szCs w:val="24"/>
        </w:rPr>
      </w:pPr>
      <w:bookmarkStart w:id="1" w:name="CLEP_Definition"/>
      <w:bookmarkEnd w:id="1"/>
      <w:r w:rsidRPr="005B1725">
        <w:rPr>
          <w:rStyle w:val="Strong"/>
          <w:rFonts w:ascii="Times New Roman" w:hAnsi="Times New Roman"/>
          <w:b w:val="0"/>
          <w:sz w:val="24"/>
          <w:szCs w:val="24"/>
        </w:rPr>
        <w:t>College Level Examination Program (CLEP) Exams</w:t>
      </w:r>
      <w:r w:rsidRPr="005B1725">
        <w:rPr>
          <w:rFonts w:ascii="Times New Roman" w:hAnsi="Times New Roman"/>
          <w:sz w:val="24"/>
          <w:szCs w:val="24"/>
        </w:rPr>
        <w:t xml:space="preserve"> - CLEP exams are 33 exams in 5 different subject areas offered by the College Board. Most CLEP tests cover lower level and introductory knowledge of certain subjects, many of which fall within general education requirements. The cost is typically $80-90 per exam. For more information visit </w:t>
      </w:r>
      <w:hyperlink r:id="rId11" w:history="1">
        <w:r w:rsidRPr="005B1725">
          <w:rPr>
            <w:rStyle w:val="Hyperlink"/>
            <w:rFonts w:ascii="Times New Roman" w:hAnsi="Times New Roman"/>
            <w:sz w:val="24"/>
            <w:szCs w:val="24"/>
          </w:rPr>
          <w:t>http://clep.collegeboard.org/</w:t>
        </w:r>
      </w:hyperlink>
    </w:p>
    <w:p w:rsidR="005B1725" w:rsidRPr="005B1725" w:rsidRDefault="002A5701" w:rsidP="005B1725">
      <w:pPr>
        <w:pStyle w:val="ListParagraph"/>
        <w:numPr>
          <w:ilvl w:val="0"/>
          <w:numId w:val="33"/>
        </w:numPr>
        <w:spacing w:after="120" w:line="240" w:lineRule="auto"/>
        <w:contextualSpacing w:val="0"/>
        <w:jc w:val="both"/>
        <w:rPr>
          <w:rFonts w:ascii="Times New Roman" w:hAnsi="Times New Roman"/>
          <w:sz w:val="24"/>
          <w:szCs w:val="24"/>
        </w:rPr>
      </w:pPr>
      <w:bookmarkStart w:id="2" w:name="Challenge_Exams_Definition"/>
      <w:bookmarkStart w:id="3" w:name="DSST_Definition"/>
      <w:bookmarkEnd w:id="2"/>
      <w:bookmarkEnd w:id="3"/>
      <w:r w:rsidRPr="005B1725">
        <w:rPr>
          <w:rStyle w:val="Strong"/>
          <w:rFonts w:ascii="Times New Roman" w:hAnsi="Times New Roman"/>
          <w:b w:val="0"/>
          <w:sz w:val="24"/>
          <w:szCs w:val="24"/>
        </w:rPr>
        <w:t>DSST Credit by Exam Program</w:t>
      </w:r>
      <w:r w:rsidRPr="005B1725">
        <w:rPr>
          <w:rFonts w:ascii="Times New Roman" w:hAnsi="Times New Roman"/>
          <w:sz w:val="24"/>
          <w:szCs w:val="24"/>
        </w:rPr>
        <w:t xml:space="preserve"> - Formerly known as the DANTES Program, tests knowledge of college material through 38 exams in 6 subject areas for upper and lower division credit. Originally only available to military personnel, DSST exams have been made available to the general public for a fee of $80 per test. </w:t>
      </w:r>
      <w:bookmarkStart w:id="4" w:name="ECE_Definition"/>
      <w:bookmarkEnd w:id="4"/>
    </w:p>
    <w:p w:rsidR="002A5701" w:rsidRPr="005B1725" w:rsidRDefault="002A5701" w:rsidP="005B1725">
      <w:pPr>
        <w:pStyle w:val="ListParagraph"/>
        <w:numPr>
          <w:ilvl w:val="0"/>
          <w:numId w:val="33"/>
        </w:numPr>
        <w:spacing w:after="120" w:line="240" w:lineRule="auto"/>
        <w:contextualSpacing w:val="0"/>
        <w:jc w:val="both"/>
        <w:rPr>
          <w:rFonts w:ascii="Times New Roman" w:hAnsi="Times New Roman"/>
          <w:sz w:val="24"/>
          <w:szCs w:val="24"/>
        </w:rPr>
      </w:pPr>
      <w:r w:rsidRPr="005B1725">
        <w:rPr>
          <w:rStyle w:val="Strong"/>
          <w:rFonts w:ascii="Times New Roman" w:hAnsi="Times New Roman"/>
          <w:b w:val="0"/>
          <w:sz w:val="24"/>
          <w:szCs w:val="24"/>
        </w:rPr>
        <w:t>Inte</w:t>
      </w:r>
      <w:r w:rsidR="005D298A">
        <w:rPr>
          <w:rStyle w:val="Strong"/>
          <w:rFonts w:ascii="Times New Roman" w:hAnsi="Times New Roman"/>
          <w:b w:val="0"/>
          <w:sz w:val="24"/>
          <w:szCs w:val="24"/>
        </w:rPr>
        <w:t>rnational Baccalaureate Program</w:t>
      </w:r>
      <w:r w:rsidRPr="005B1725">
        <w:rPr>
          <w:rStyle w:val="Strong"/>
          <w:rFonts w:ascii="Times New Roman" w:hAnsi="Times New Roman"/>
          <w:b w:val="0"/>
          <w:sz w:val="24"/>
          <w:szCs w:val="24"/>
        </w:rPr>
        <w:t xml:space="preserve"> Exams</w:t>
      </w:r>
      <w:r w:rsidRPr="005B1725">
        <w:rPr>
          <w:rFonts w:ascii="Times New Roman" w:hAnsi="Times New Roman"/>
          <w:sz w:val="24"/>
          <w:szCs w:val="24"/>
        </w:rPr>
        <w:t xml:space="preserve"> </w:t>
      </w:r>
    </w:p>
    <w:p w:rsidR="00D81245" w:rsidRPr="005B1725" w:rsidRDefault="00D81245" w:rsidP="005B1725">
      <w:pPr>
        <w:pStyle w:val="ListParagraph"/>
        <w:numPr>
          <w:ilvl w:val="0"/>
          <w:numId w:val="32"/>
        </w:numPr>
        <w:spacing w:after="120" w:line="240" w:lineRule="auto"/>
        <w:contextualSpacing w:val="0"/>
        <w:jc w:val="both"/>
        <w:rPr>
          <w:rFonts w:ascii="Times New Roman" w:hAnsi="Times New Roman"/>
          <w:sz w:val="24"/>
          <w:szCs w:val="24"/>
          <w:u w:val="single"/>
        </w:rPr>
      </w:pPr>
      <w:r w:rsidRPr="005B1725">
        <w:rPr>
          <w:rFonts w:ascii="Times New Roman" w:hAnsi="Times New Roman"/>
          <w:sz w:val="24"/>
          <w:szCs w:val="24"/>
          <w:u w:val="single"/>
        </w:rPr>
        <w:t>Challenge Exams</w:t>
      </w:r>
    </w:p>
    <w:p w:rsidR="00D81245" w:rsidRPr="005B1725" w:rsidRDefault="00D81245" w:rsidP="005B1725">
      <w:pPr>
        <w:pStyle w:val="ListParagraph"/>
        <w:numPr>
          <w:ilvl w:val="0"/>
          <w:numId w:val="34"/>
        </w:numPr>
        <w:spacing w:after="120" w:line="240" w:lineRule="auto"/>
        <w:contextualSpacing w:val="0"/>
        <w:jc w:val="both"/>
        <w:rPr>
          <w:rFonts w:ascii="Times New Roman" w:hAnsi="Times New Roman"/>
          <w:sz w:val="24"/>
          <w:szCs w:val="24"/>
        </w:rPr>
      </w:pPr>
      <w:r w:rsidRPr="005B1725">
        <w:rPr>
          <w:rStyle w:val="Strong"/>
          <w:rFonts w:ascii="Times New Roman" w:hAnsi="Times New Roman"/>
          <w:b w:val="0"/>
          <w:sz w:val="24"/>
          <w:szCs w:val="24"/>
        </w:rPr>
        <w:t>Course Challenge Exams</w:t>
      </w:r>
      <w:r w:rsidRPr="005B1725">
        <w:rPr>
          <w:rFonts w:ascii="Times New Roman" w:hAnsi="Times New Roman"/>
          <w:sz w:val="24"/>
          <w:szCs w:val="24"/>
        </w:rPr>
        <w:t xml:space="preserve"> - Local tests developed by </w:t>
      </w:r>
      <w:r w:rsidR="00C54F58">
        <w:rPr>
          <w:rFonts w:ascii="Times New Roman" w:hAnsi="Times New Roman"/>
          <w:sz w:val="24"/>
          <w:szCs w:val="24"/>
        </w:rPr>
        <w:t>faculty</w:t>
      </w:r>
      <w:r w:rsidR="00C23394">
        <w:rPr>
          <w:rFonts w:ascii="Times New Roman" w:hAnsi="Times New Roman"/>
          <w:sz w:val="24"/>
          <w:szCs w:val="24"/>
        </w:rPr>
        <w:t>, or standardized exams like CLEP adopted by faculty</w:t>
      </w:r>
      <w:proofErr w:type="gramStart"/>
      <w:r w:rsidR="00C23394">
        <w:rPr>
          <w:rFonts w:ascii="Times New Roman" w:hAnsi="Times New Roman"/>
          <w:sz w:val="24"/>
          <w:szCs w:val="24"/>
        </w:rPr>
        <w:t xml:space="preserve">, </w:t>
      </w:r>
      <w:r w:rsidRPr="005B1725">
        <w:rPr>
          <w:rFonts w:ascii="Times New Roman" w:hAnsi="Times New Roman"/>
          <w:sz w:val="24"/>
          <w:szCs w:val="24"/>
        </w:rPr>
        <w:t xml:space="preserve"> to</w:t>
      </w:r>
      <w:proofErr w:type="gramEnd"/>
      <w:r w:rsidRPr="005B1725">
        <w:rPr>
          <w:rFonts w:ascii="Times New Roman" w:hAnsi="Times New Roman"/>
          <w:sz w:val="24"/>
          <w:szCs w:val="24"/>
        </w:rPr>
        <w:t xml:space="preserve"> verify learning achievement for a particular course. This is the type of competency testing required by §23-1-</w:t>
      </w:r>
      <w:r w:rsidR="00C54F58">
        <w:rPr>
          <w:rFonts w:ascii="Times New Roman" w:hAnsi="Times New Roman"/>
          <w:sz w:val="24"/>
          <w:szCs w:val="24"/>
        </w:rPr>
        <w:t>125(4), C.R.S., mentioned above</w:t>
      </w:r>
      <w:r w:rsidRPr="005B1725">
        <w:rPr>
          <w:rFonts w:ascii="Times New Roman" w:hAnsi="Times New Roman"/>
          <w:sz w:val="24"/>
          <w:szCs w:val="24"/>
        </w:rPr>
        <w:t>.</w:t>
      </w:r>
    </w:p>
    <w:p w:rsidR="00D81245" w:rsidRPr="005B1725" w:rsidRDefault="006757CB" w:rsidP="005B1725">
      <w:pPr>
        <w:pStyle w:val="ListParagraph"/>
        <w:numPr>
          <w:ilvl w:val="0"/>
          <w:numId w:val="32"/>
        </w:numPr>
        <w:spacing w:after="120" w:line="240" w:lineRule="auto"/>
        <w:contextualSpacing w:val="0"/>
        <w:jc w:val="both"/>
        <w:rPr>
          <w:rFonts w:ascii="Times New Roman" w:hAnsi="Times New Roman"/>
          <w:sz w:val="24"/>
          <w:szCs w:val="24"/>
          <w:u w:val="single"/>
        </w:rPr>
      </w:pPr>
      <w:r>
        <w:rPr>
          <w:rFonts w:ascii="Times New Roman" w:hAnsi="Times New Roman"/>
          <w:sz w:val="24"/>
          <w:szCs w:val="24"/>
          <w:u w:val="single"/>
        </w:rPr>
        <w:t>Nationally Recognized Published Guides</w:t>
      </w:r>
    </w:p>
    <w:p w:rsidR="002A5701" w:rsidRPr="005B1725" w:rsidRDefault="002A5701" w:rsidP="005B1725">
      <w:pPr>
        <w:pStyle w:val="ListParagraph"/>
        <w:numPr>
          <w:ilvl w:val="0"/>
          <w:numId w:val="35"/>
        </w:numPr>
        <w:spacing w:after="120" w:line="240" w:lineRule="auto"/>
        <w:contextualSpacing w:val="0"/>
        <w:jc w:val="both"/>
        <w:rPr>
          <w:rFonts w:ascii="Times New Roman" w:hAnsi="Times New Roman"/>
          <w:sz w:val="24"/>
          <w:szCs w:val="24"/>
        </w:rPr>
      </w:pPr>
      <w:bookmarkStart w:id="5" w:name="SAT_Definition"/>
      <w:bookmarkStart w:id="6" w:name="TECEP_Definition"/>
      <w:bookmarkStart w:id="7" w:name="https://secure.collegefortn.org/Adults/T"/>
      <w:bookmarkStart w:id="8" w:name="ACE_Definition"/>
      <w:bookmarkEnd w:id="5"/>
      <w:bookmarkEnd w:id="6"/>
      <w:bookmarkEnd w:id="7"/>
      <w:bookmarkEnd w:id="8"/>
      <w:r w:rsidRPr="005B1725">
        <w:rPr>
          <w:rStyle w:val="Strong"/>
          <w:rFonts w:ascii="Times New Roman" w:hAnsi="Times New Roman"/>
          <w:b w:val="0"/>
          <w:sz w:val="24"/>
          <w:szCs w:val="24"/>
        </w:rPr>
        <w:t>American Council on Education (ACE) CREDIT (Workforce-based credit recommendation service)</w:t>
      </w:r>
      <w:r w:rsidRPr="005B1725">
        <w:rPr>
          <w:rFonts w:ascii="Times New Roman" w:hAnsi="Times New Roman"/>
          <w:sz w:val="24"/>
          <w:szCs w:val="24"/>
        </w:rPr>
        <w:t xml:space="preserve"> - This is a service offered through ACE to recognize learning that takes place in the work place in the form of training (corporate, nonprofit, government, etc.) to transfer toward a college degree at participating institutions. Over 600 businesses, agencies, and organizations have had their training evaluated by ACE resulting in thousands of evaluated courses. Students request that ACE compile the details of the training that they have taken into an ACE transcript. The credit is kept on file through ACE and transferred by transcript to institutions, which means that students may need to request the transcripts to apply this credit. The first transcript costs $40, with copies costing $15 each. Samples of training programs include those offered through McDonald's and Wal-Mart.</w:t>
      </w:r>
    </w:p>
    <w:p w:rsidR="002A5701" w:rsidRDefault="002A5701" w:rsidP="005B1725">
      <w:pPr>
        <w:pStyle w:val="ListParagraph"/>
        <w:numPr>
          <w:ilvl w:val="0"/>
          <w:numId w:val="35"/>
        </w:numPr>
        <w:spacing w:after="120" w:line="240" w:lineRule="auto"/>
        <w:contextualSpacing w:val="0"/>
        <w:jc w:val="both"/>
        <w:rPr>
          <w:rFonts w:ascii="Times New Roman" w:hAnsi="Times New Roman"/>
          <w:sz w:val="24"/>
          <w:szCs w:val="24"/>
        </w:rPr>
      </w:pPr>
      <w:r w:rsidRPr="005B1725">
        <w:rPr>
          <w:rStyle w:val="Strong"/>
          <w:rFonts w:ascii="Times New Roman" w:hAnsi="Times New Roman"/>
          <w:b w:val="0"/>
          <w:sz w:val="24"/>
          <w:szCs w:val="24"/>
        </w:rPr>
        <w:t>ACE Military Credit</w:t>
      </w:r>
      <w:r w:rsidRPr="005B1725">
        <w:rPr>
          <w:rFonts w:ascii="Times New Roman" w:hAnsi="Times New Roman"/>
          <w:sz w:val="24"/>
          <w:szCs w:val="24"/>
        </w:rPr>
        <w:t xml:space="preserve"> - This is a service offered through ACE to recognize learning that takes place in the military</w:t>
      </w:r>
      <w:r w:rsidR="005B1725">
        <w:rPr>
          <w:rFonts w:ascii="Times New Roman" w:hAnsi="Times New Roman"/>
          <w:sz w:val="24"/>
          <w:szCs w:val="24"/>
        </w:rPr>
        <w:t xml:space="preserve"> through coursework or apprenticeships. </w:t>
      </w:r>
      <w:r w:rsidR="005B1725" w:rsidRPr="005B1725">
        <w:rPr>
          <w:rFonts w:ascii="Times New Roman" w:hAnsi="Times New Roman"/>
          <w:sz w:val="24"/>
          <w:szCs w:val="24"/>
        </w:rPr>
        <w:t>The courses are offered through the military, but ACE records the credit through its transcript service.</w:t>
      </w:r>
      <w:r w:rsidR="005B1725">
        <w:rPr>
          <w:rFonts w:ascii="Times New Roman" w:hAnsi="Times New Roman"/>
          <w:sz w:val="24"/>
          <w:szCs w:val="24"/>
        </w:rPr>
        <w:t xml:space="preserve"> Learning is also documented through crosswalks from specific jobs, such as with the Joint Services Transcript (JST)</w:t>
      </w:r>
      <w:r w:rsidRPr="005B1725">
        <w:rPr>
          <w:rFonts w:ascii="Times New Roman" w:hAnsi="Times New Roman"/>
          <w:sz w:val="24"/>
          <w:szCs w:val="24"/>
        </w:rPr>
        <w:t xml:space="preserve">. </w:t>
      </w:r>
    </w:p>
    <w:p w:rsidR="00D81245" w:rsidRPr="005B1725" w:rsidRDefault="00A279F0" w:rsidP="005B1725">
      <w:pPr>
        <w:pStyle w:val="ListParagraph"/>
        <w:numPr>
          <w:ilvl w:val="0"/>
          <w:numId w:val="32"/>
        </w:numPr>
        <w:spacing w:after="120" w:line="240" w:lineRule="auto"/>
        <w:contextualSpacing w:val="0"/>
        <w:jc w:val="both"/>
        <w:rPr>
          <w:rStyle w:val="Strong"/>
          <w:rFonts w:ascii="Times New Roman" w:hAnsi="Times New Roman"/>
          <w:b w:val="0"/>
          <w:bCs w:val="0"/>
          <w:sz w:val="24"/>
          <w:szCs w:val="24"/>
          <w:u w:val="single"/>
        </w:rPr>
      </w:pPr>
      <w:bookmarkStart w:id="9" w:name="Portfolios"/>
      <w:bookmarkEnd w:id="9"/>
      <w:r>
        <w:rPr>
          <w:rStyle w:val="Strong"/>
          <w:rFonts w:ascii="Times New Roman" w:hAnsi="Times New Roman"/>
          <w:b w:val="0"/>
          <w:bCs w:val="0"/>
          <w:sz w:val="24"/>
          <w:szCs w:val="24"/>
          <w:u w:val="single"/>
        </w:rPr>
        <w:t>Individual Assessment</w:t>
      </w:r>
    </w:p>
    <w:p w:rsidR="002A5701" w:rsidRPr="005B1725" w:rsidRDefault="002A5701" w:rsidP="005B1725">
      <w:pPr>
        <w:pStyle w:val="ListParagraph"/>
        <w:numPr>
          <w:ilvl w:val="0"/>
          <w:numId w:val="36"/>
        </w:numPr>
        <w:spacing w:after="120" w:line="240" w:lineRule="auto"/>
        <w:contextualSpacing w:val="0"/>
        <w:jc w:val="both"/>
        <w:rPr>
          <w:rFonts w:ascii="Times New Roman" w:hAnsi="Times New Roman"/>
          <w:sz w:val="24"/>
          <w:szCs w:val="24"/>
        </w:rPr>
      </w:pPr>
      <w:r w:rsidRPr="005B1725">
        <w:rPr>
          <w:rStyle w:val="Strong"/>
          <w:rFonts w:ascii="Times New Roman" w:hAnsi="Times New Roman"/>
          <w:b w:val="0"/>
          <w:sz w:val="24"/>
          <w:szCs w:val="24"/>
        </w:rPr>
        <w:t>Portfolio-based Assessments</w:t>
      </w:r>
      <w:r w:rsidRPr="005B1725">
        <w:rPr>
          <w:rFonts w:ascii="Times New Roman" w:hAnsi="Times New Roman"/>
          <w:sz w:val="24"/>
          <w:szCs w:val="24"/>
        </w:rPr>
        <w:t xml:space="preserve"> - A portfolio is a compilation of documents or other evidence that demonstrates college-level learning. These are reviewed by faculty at the institution and credit is awarded based on their assessment of the portfolio. The </w:t>
      </w:r>
      <w:hyperlink r:id="rId12" w:history="1">
        <w:r w:rsidRPr="005B1725">
          <w:rPr>
            <w:rStyle w:val="Hyperlink"/>
            <w:rFonts w:ascii="Times New Roman" w:hAnsi="Times New Roman"/>
            <w:sz w:val="24"/>
            <w:szCs w:val="24"/>
          </w:rPr>
          <w:t>Council for Adult and Experiential Learning (CAEL)</w:t>
        </w:r>
      </w:hyperlink>
      <w:r w:rsidRPr="005B1725">
        <w:rPr>
          <w:rFonts w:ascii="Times New Roman" w:hAnsi="Times New Roman"/>
          <w:color w:val="252525"/>
          <w:sz w:val="24"/>
          <w:szCs w:val="24"/>
        </w:rPr>
        <w:t xml:space="preserve"> also provides this service for a fee through its “</w:t>
      </w:r>
      <w:hyperlink r:id="rId13" w:history="1">
        <w:r w:rsidRPr="005B1725">
          <w:rPr>
            <w:rStyle w:val="Hyperlink"/>
            <w:rFonts w:ascii="Times New Roman" w:hAnsi="Times New Roman"/>
            <w:sz w:val="24"/>
            <w:szCs w:val="24"/>
          </w:rPr>
          <w:t>Learning Counts</w:t>
        </w:r>
      </w:hyperlink>
      <w:r w:rsidRPr="005B1725">
        <w:rPr>
          <w:rFonts w:ascii="Times New Roman" w:hAnsi="Times New Roman"/>
          <w:color w:val="252525"/>
          <w:sz w:val="24"/>
          <w:szCs w:val="24"/>
        </w:rPr>
        <w:t>” program.</w:t>
      </w:r>
    </w:p>
    <w:p w:rsidR="002A5701" w:rsidRPr="00377B19" w:rsidRDefault="002A5701" w:rsidP="002A5701">
      <w:pPr>
        <w:jc w:val="both"/>
        <w:outlineLvl w:val="0"/>
        <w:rPr>
          <w:sz w:val="24"/>
        </w:rPr>
      </w:pPr>
    </w:p>
    <w:p w:rsidR="002A5701" w:rsidRDefault="002A5701" w:rsidP="002A5701">
      <w:pPr>
        <w:jc w:val="both"/>
        <w:outlineLvl w:val="0"/>
        <w:rPr>
          <w:sz w:val="24"/>
        </w:rPr>
      </w:pPr>
      <w:r>
        <w:rPr>
          <w:sz w:val="24"/>
        </w:rPr>
        <w:lastRenderedPageBreak/>
        <w:t xml:space="preserve">Though all these forms of PLA are available, not all </w:t>
      </w:r>
      <w:r w:rsidR="003A15A7">
        <w:rPr>
          <w:sz w:val="24"/>
        </w:rPr>
        <w:t xml:space="preserve">Colorado </w:t>
      </w:r>
      <w:r w:rsidR="00B20B50">
        <w:rPr>
          <w:sz w:val="24"/>
        </w:rPr>
        <w:t>institutions make them</w:t>
      </w:r>
      <w:r w:rsidR="005D298A">
        <w:rPr>
          <w:sz w:val="24"/>
        </w:rPr>
        <w:t xml:space="preserve"> fully</w:t>
      </w:r>
      <w:r w:rsidR="00B20B50">
        <w:rPr>
          <w:sz w:val="24"/>
        </w:rPr>
        <w:t xml:space="preserve"> available </w:t>
      </w:r>
      <w:r>
        <w:rPr>
          <w:sz w:val="24"/>
        </w:rPr>
        <w:t xml:space="preserve">to students. And for the more commonly accepted forms of PLA, like AP credit, institutions’ minimum cut scores are </w:t>
      </w:r>
      <w:r w:rsidR="003A15A7">
        <w:rPr>
          <w:sz w:val="24"/>
        </w:rPr>
        <w:t>inconsistent</w:t>
      </w:r>
      <w:r>
        <w:rPr>
          <w:sz w:val="24"/>
        </w:rPr>
        <w:t xml:space="preserve"> mak</w:t>
      </w:r>
      <w:r w:rsidR="002E32BB">
        <w:rPr>
          <w:sz w:val="24"/>
        </w:rPr>
        <w:t>ing</w:t>
      </w:r>
      <w:r>
        <w:rPr>
          <w:sz w:val="24"/>
        </w:rPr>
        <w:t xml:space="preserve"> it </w:t>
      </w:r>
      <w:r w:rsidR="002E32BB">
        <w:rPr>
          <w:sz w:val="24"/>
        </w:rPr>
        <w:t xml:space="preserve">difficult for students </w:t>
      </w:r>
      <w:r>
        <w:rPr>
          <w:sz w:val="24"/>
        </w:rPr>
        <w:t>to know if the credit will transfer and apply to students’ chosen degree programs</w:t>
      </w:r>
      <w:r w:rsidR="003A15A7">
        <w:rPr>
          <w:sz w:val="24"/>
        </w:rPr>
        <w:t xml:space="preserve"> upon transfer</w:t>
      </w:r>
      <w:r>
        <w:rPr>
          <w:sz w:val="24"/>
        </w:rPr>
        <w:t xml:space="preserve">. </w:t>
      </w:r>
      <w:r w:rsidR="004D01FB">
        <w:rPr>
          <w:sz w:val="24"/>
        </w:rPr>
        <w:t xml:space="preserve">Colorado could eliminate this issue by creating </w:t>
      </w:r>
      <w:r w:rsidR="00C54F58">
        <w:rPr>
          <w:sz w:val="24"/>
        </w:rPr>
        <w:t>common statewide cut scores</w:t>
      </w:r>
      <w:r w:rsidR="004D01FB">
        <w:rPr>
          <w:sz w:val="24"/>
        </w:rPr>
        <w:t xml:space="preserve">; however, we know </w:t>
      </w:r>
      <w:proofErr w:type="gramStart"/>
      <w:r w:rsidR="004D01FB">
        <w:rPr>
          <w:sz w:val="24"/>
        </w:rPr>
        <w:t xml:space="preserve">that </w:t>
      </w:r>
      <w:r>
        <w:rPr>
          <w:sz w:val="24"/>
        </w:rPr>
        <w:t xml:space="preserve"> faculty</w:t>
      </w:r>
      <w:proofErr w:type="gramEnd"/>
      <w:r w:rsidR="004D01FB">
        <w:rPr>
          <w:sz w:val="24"/>
        </w:rPr>
        <w:t xml:space="preserve"> are</w:t>
      </w:r>
      <w:r>
        <w:rPr>
          <w:sz w:val="24"/>
        </w:rPr>
        <w:t xml:space="preserve"> concern</w:t>
      </w:r>
      <w:r w:rsidR="004D01FB">
        <w:rPr>
          <w:sz w:val="24"/>
        </w:rPr>
        <w:t xml:space="preserve">ed </w:t>
      </w:r>
      <w:r>
        <w:rPr>
          <w:sz w:val="24"/>
        </w:rPr>
        <w:t xml:space="preserve">that PLA credit </w:t>
      </w:r>
      <w:r w:rsidR="00B32374">
        <w:rPr>
          <w:sz w:val="24"/>
        </w:rPr>
        <w:t>may</w:t>
      </w:r>
      <w:r>
        <w:rPr>
          <w:sz w:val="24"/>
        </w:rPr>
        <w:t xml:space="preserve"> not </w:t>
      </w:r>
      <w:r w:rsidR="00B32374">
        <w:rPr>
          <w:sz w:val="24"/>
        </w:rPr>
        <w:t xml:space="preserve">be </w:t>
      </w:r>
      <w:r>
        <w:rPr>
          <w:sz w:val="24"/>
        </w:rPr>
        <w:t xml:space="preserve">as rigorous as seat time credit and </w:t>
      </w:r>
      <w:r w:rsidR="00ED2758">
        <w:rPr>
          <w:sz w:val="24"/>
        </w:rPr>
        <w:t xml:space="preserve">that </w:t>
      </w:r>
      <w:r>
        <w:rPr>
          <w:sz w:val="24"/>
        </w:rPr>
        <w:t xml:space="preserve">students </w:t>
      </w:r>
      <w:r w:rsidR="004D01FB">
        <w:rPr>
          <w:sz w:val="24"/>
        </w:rPr>
        <w:t xml:space="preserve">may </w:t>
      </w:r>
      <w:r>
        <w:rPr>
          <w:sz w:val="24"/>
        </w:rPr>
        <w:t xml:space="preserve">not be adequately prepared for subsequent coursework. </w:t>
      </w:r>
      <w:r w:rsidR="004D01FB">
        <w:rPr>
          <w:sz w:val="24"/>
        </w:rPr>
        <w:t xml:space="preserve"> It’s important to note that </w:t>
      </w:r>
      <w:r>
        <w:rPr>
          <w:sz w:val="24"/>
        </w:rPr>
        <w:t>there is</w:t>
      </w:r>
      <w:r w:rsidR="004D01FB">
        <w:rPr>
          <w:sz w:val="24"/>
        </w:rPr>
        <w:t xml:space="preserve"> recent </w:t>
      </w:r>
      <w:r>
        <w:rPr>
          <w:sz w:val="24"/>
        </w:rPr>
        <w:t xml:space="preserve">research to inform policymakers’ decisions </w:t>
      </w:r>
      <w:r w:rsidR="005D298A">
        <w:rPr>
          <w:sz w:val="24"/>
        </w:rPr>
        <w:t>from</w:t>
      </w:r>
      <w:r w:rsidR="004D01FB">
        <w:rPr>
          <w:sz w:val="24"/>
        </w:rPr>
        <w:t xml:space="preserve"> </w:t>
      </w:r>
      <w:r>
        <w:rPr>
          <w:sz w:val="24"/>
        </w:rPr>
        <w:t xml:space="preserve">other states and institutions </w:t>
      </w:r>
      <w:r w:rsidR="00572BFB">
        <w:rPr>
          <w:sz w:val="24"/>
        </w:rPr>
        <w:t>(AACRAO, 2015)</w:t>
      </w:r>
      <w:r>
        <w:rPr>
          <w:sz w:val="24"/>
        </w:rPr>
        <w:t>.</w:t>
      </w:r>
      <w:r w:rsidR="003A15A7">
        <w:rPr>
          <w:sz w:val="24"/>
        </w:rPr>
        <w:t xml:space="preserve"> That research will be described below.</w:t>
      </w:r>
    </w:p>
    <w:p w:rsidR="002A5701" w:rsidRPr="002A5701" w:rsidRDefault="002A5701" w:rsidP="001C64F3">
      <w:pPr>
        <w:jc w:val="both"/>
        <w:outlineLvl w:val="0"/>
        <w:rPr>
          <w:sz w:val="24"/>
        </w:rPr>
      </w:pPr>
    </w:p>
    <w:p w:rsidR="00647983" w:rsidRDefault="00647983" w:rsidP="001C64F3">
      <w:pPr>
        <w:jc w:val="both"/>
        <w:outlineLvl w:val="0"/>
        <w:rPr>
          <w:b/>
          <w:sz w:val="24"/>
        </w:rPr>
      </w:pPr>
      <w:r>
        <w:rPr>
          <w:b/>
          <w:sz w:val="24"/>
        </w:rPr>
        <w:t>Current Status in Colorado</w:t>
      </w:r>
    </w:p>
    <w:p w:rsidR="00647983" w:rsidRDefault="00647983" w:rsidP="001C64F3">
      <w:pPr>
        <w:jc w:val="both"/>
        <w:outlineLvl w:val="0"/>
        <w:rPr>
          <w:b/>
          <w:sz w:val="24"/>
        </w:rPr>
      </w:pPr>
    </w:p>
    <w:p w:rsidR="00E1494C" w:rsidRDefault="00E1494C" w:rsidP="00E1494C">
      <w:pPr>
        <w:jc w:val="both"/>
        <w:outlineLvl w:val="0"/>
        <w:rPr>
          <w:i/>
          <w:sz w:val="24"/>
        </w:rPr>
      </w:pPr>
      <w:r>
        <w:rPr>
          <w:i/>
          <w:sz w:val="24"/>
        </w:rPr>
        <w:t>Colorado Public Institutions of Higher Education</w:t>
      </w:r>
    </w:p>
    <w:p w:rsidR="00E1494C" w:rsidRDefault="00E1494C" w:rsidP="00E1494C">
      <w:pPr>
        <w:jc w:val="both"/>
        <w:outlineLvl w:val="0"/>
        <w:rPr>
          <w:sz w:val="24"/>
        </w:rPr>
      </w:pPr>
    </w:p>
    <w:p w:rsidR="00E1494C" w:rsidRPr="003756F6" w:rsidRDefault="00E1494C" w:rsidP="00B208AF">
      <w:pPr>
        <w:autoSpaceDE w:val="0"/>
        <w:autoSpaceDN w:val="0"/>
        <w:adjustRightInd w:val="0"/>
        <w:spacing w:after="120"/>
        <w:jc w:val="both"/>
        <w:rPr>
          <w:sz w:val="24"/>
        </w:rPr>
      </w:pPr>
      <w:r w:rsidRPr="002C2B5A">
        <w:rPr>
          <w:sz w:val="24"/>
        </w:rPr>
        <w:t xml:space="preserve">Appendix </w:t>
      </w:r>
      <w:r>
        <w:rPr>
          <w:sz w:val="24"/>
        </w:rPr>
        <w:t>A</w:t>
      </w:r>
      <w:r w:rsidRPr="002C2B5A">
        <w:rPr>
          <w:sz w:val="24"/>
        </w:rPr>
        <w:t>: Colorado Institutions</w:t>
      </w:r>
      <w:r w:rsidR="00B32374">
        <w:rPr>
          <w:sz w:val="24"/>
        </w:rPr>
        <w:t>’</w:t>
      </w:r>
      <w:r w:rsidRPr="002C2B5A">
        <w:rPr>
          <w:sz w:val="24"/>
        </w:rPr>
        <w:t xml:space="preserve"> PLA Policies shows which forms of PLA Colorado institutions </w:t>
      </w:r>
      <w:r>
        <w:rPr>
          <w:sz w:val="24"/>
        </w:rPr>
        <w:t xml:space="preserve">currently </w:t>
      </w:r>
      <w:r w:rsidRPr="002C2B5A">
        <w:rPr>
          <w:sz w:val="24"/>
        </w:rPr>
        <w:t xml:space="preserve">accept and contains links to the institutions’ PLA policies. Colorado’s fifteen public, 2-year institutions </w:t>
      </w:r>
      <w:r w:rsidR="00B208AF">
        <w:rPr>
          <w:sz w:val="24"/>
        </w:rPr>
        <w:t>award</w:t>
      </w:r>
      <w:r w:rsidRPr="002C2B5A">
        <w:rPr>
          <w:sz w:val="24"/>
        </w:rPr>
        <w:t xml:space="preserve"> all forms of PLA to some extent and follow the Colorado Community College System’s </w:t>
      </w:r>
      <w:r w:rsidRPr="00C54F58">
        <w:rPr>
          <w:i/>
          <w:sz w:val="24"/>
        </w:rPr>
        <w:t>Credit for Prior Learning Handbook</w:t>
      </w:r>
      <w:r w:rsidRPr="002C2B5A">
        <w:rPr>
          <w:sz w:val="24"/>
        </w:rPr>
        <w:t xml:space="preserve">. Of Colorado’s </w:t>
      </w:r>
      <w:r w:rsidRPr="003756F6">
        <w:rPr>
          <w:sz w:val="24"/>
        </w:rPr>
        <w:t>4-year i</w:t>
      </w:r>
      <w:r w:rsidR="00B208AF">
        <w:rPr>
          <w:sz w:val="24"/>
        </w:rPr>
        <w:t xml:space="preserve">nstitutions, CSU-Global Campus </w:t>
      </w:r>
      <w:r w:rsidR="00C54F58">
        <w:rPr>
          <w:sz w:val="24"/>
        </w:rPr>
        <w:t xml:space="preserve">appears to </w:t>
      </w:r>
      <w:r w:rsidR="00B208AF">
        <w:rPr>
          <w:sz w:val="24"/>
        </w:rPr>
        <w:t>award</w:t>
      </w:r>
      <w:r w:rsidRPr="003756F6">
        <w:rPr>
          <w:sz w:val="24"/>
        </w:rPr>
        <w:t xml:space="preserve"> the most PLA. CSU-Global Campus reports the majority of general education credit that is transferred from alternative means is </w:t>
      </w:r>
      <w:r w:rsidR="00B208AF">
        <w:rPr>
          <w:sz w:val="24"/>
        </w:rPr>
        <w:t>CLEP, DSST, AP, or its own competency based e</w:t>
      </w:r>
      <w:r w:rsidRPr="003756F6">
        <w:rPr>
          <w:sz w:val="24"/>
        </w:rPr>
        <w:t>xams. They report that as of October 31, 2014:</w:t>
      </w:r>
    </w:p>
    <w:p w:rsidR="00E1494C" w:rsidRDefault="00E1494C" w:rsidP="00E1494C">
      <w:pPr>
        <w:pStyle w:val="ListParagraph"/>
        <w:numPr>
          <w:ilvl w:val="0"/>
          <w:numId w:val="29"/>
        </w:numPr>
        <w:autoSpaceDE w:val="0"/>
        <w:autoSpaceDN w:val="0"/>
        <w:adjustRightInd w:val="0"/>
        <w:spacing w:line="240" w:lineRule="auto"/>
        <w:jc w:val="both"/>
        <w:rPr>
          <w:rFonts w:ascii="Times New Roman" w:hAnsi="Times New Roman"/>
          <w:sz w:val="24"/>
          <w:szCs w:val="24"/>
        </w:rPr>
      </w:pPr>
      <w:r w:rsidRPr="003756F6">
        <w:rPr>
          <w:rFonts w:ascii="Times New Roman" w:hAnsi="Times New Roman"/>
          <w:sz w:val="24"/>
          <w:szCs w:val="24"/>
        </w:rPr>
        <w:t>72 students have passed 80 Competency Based Exams (CBE) with 212 credits awarded (122 exams were attempted, 61% passed</w:t>
      </w:r>
      <w:r w:rsidRPr="002C2B5A">
        <w:rPr>
          <w:rFonts w:ascii="Times New Roman" w:hAnsi="Times New Roman"/>
          <w:sz w:val="24"/>
          <w:szCs w:val="24"/>
        </w:rPr>
        <w:t xml:space="preserve"> on the first attempt and 71% passed on the second attempt</w:t>
      </w:r>
      <w:r>
        <w:rPr>
          <w:rFonts w:ascii="Times New Roman" w:hAnsi="Times New Roman"/>
          <w:sz w:val="24"/>
          <w:szCs w:val="24"/>
        </w:rPr>
        <w:t>); and</w:t>
      </w:r>
    </w:p>
    <w:p w:rsidR="00E1494C" w:rsidRDefault="00E1494C" w:rsidP="00E1494C">
      <w:pPr>
        <w:pStyle w:val="ListParagraph"/>
        <w:numPr>
          <w:ilvl w:val="0"/>
          <w:numId w:val="29"/>
        </w:numPr>
        <w:autoSpaceDE w:val="0"/>
        <w:autoSpaceDN w:val="0"/>
        <w:adjustRightInd w:val="0"/>
        <w:spacing w:line="240" w:lineRule="auto"/>
        <w:jc w:val="both"/>
        <w:rPr>
          <w:rFonts w:ascii="Times New Roman" w:hAnsi="Times New Roman"/>
          <w:sz w:val="24"/>
          <w:szCs w:val="24"/>
        </w:rPr>
      </w:pPr>
      <w:r w:rsidRPr="003756F6">
        <w:rPr>
          <w:rFonts w:ascii="Times New Roman" w:hAnsi="Times New Roman"/>
          <w:sz w:val="24"/>
          <w:szCs w:val="24"/>
        </w:rPr>
        <w:t>Even more students than above have received CLEP credits towards their degrees; and</w:t>
      </w:r>
    </w:p>
    <w:p w:rsidR="00E1494C" w:rsidRPr="003756F6" w:rsidRDefault="00E1494C" w:rsidP="00E1494C">
      <w:pPr>
        <w:pStyle w:val="ListParagraph"/>
        <w:numPr>
          <w:ilvl w:val="0"/>
          <w:numId w:val="29"/>
        </w:numPr>
        <w:autoSpaceDE w:val="0"/>
        <w:autoSpaceDN w:val="0"/>
        <w:adjustRightInd w:val="0"/>
        <w:spacing w:line="240" w:lineRule="auto"/>
        <w:jc w:val="both"/>
        <w:rPr>
          <w:rFonts w:ascii="Times New Roman" w:hAnsi="Times New Roman"/>
          <w:sz w:val="24"/>
          <w:szCs w:val="24"/>
        </w:rPr>
      </w:pPr>
      <w:r w:rsidRPr="003756F6">
        <w:rPr>
          <w:rFonts w:ascii="Times New Roman" w:hAnsi="Times New Roman"/>
          <w:sz w:val="24"/>
          <w:szCs w:val="24"/>
        </w:rPr>
        <w:t>126 students have received passing scores on 374 Prior Learning Assessment (PLA) portfolio projects with 1,123 credits awarded</w:t>
      </w:r>
      <w:r>
        <w:rPr>
          <w:rFonts w:ascii="Times New Roman" w:hAnsi="Times New Roman"/>
          <w:sz w:val="24"/>
          <w:szCs w:val="24"/>
        </w:rPr>
        <w:t>.</w:t>
      </w:r>
    </w:p>
    <w:p w:rsidR="00E1494C" w:rsidRDefault="00E1494C" w:rsidP="00E1494C">
      <w:pPr>
        <w:autoSpaceDE w:val="0"/>
        <w:autoSpaceDN w:val="0"/>
        <w:adjustRightInd w:val="0"/>
        <w:jc w:val="both"/>
        <w:rPr>
          <w:sz w:val="24"/>
        </w:rPr>
      </w:pPr>
      <w:r w:rsidRPr="00ED6009">
        <w:rPr>
          <w:color w:val="000000"/>
          <w:sz w:val="24"/>
        </w:rPr>
        <w:t xml:space="preserve">Adams State University reported in December 2014 it </w:t>
      </w:r>
      <w:r w:rsidR="00DA6554">
        <w:rPr>
          <w:color w:val="000000"/>
          <w:sz w:val="24"/>
        </w:rPr>
        <w:t>receives</w:t>
      </w:r>
      <w:r w:rsidRPr="00ED6009">
        <w:rPr>
          <w:color w:val="000000"/>
          <w:sz w:val="24"/>
        </w:rPr>
        <w:t xml:space="preserve"> two to three portfolio review requests per month and that, typically, </w:t>
      </w:r>
      <w:r w:rsidRPr="00ED6009">
        <w:rPr>
          <w:sz w:val="24"/>
        </w:rPr>
        <w:t>the content in the portfolio does not align with the content in a specific ASU course. ASU provides portfolio reviews free of charge to the student</w:t>
      </w:r>
      <w:r w:rsidR="00B32374">
        <w:rPr>
          <w:sz w:val="24"/>
        </w:rPr>
        <w:t>,</w:t>
      </w:r>
      <w:r w:rsidRPr="00ED6009">
        <w:rPr>
          <w:sz w:val="24"/>
        </w:rPr>
        <w:t xml:space="preserve"> </w:t>
      </w:r>
      <w:r w:rsidR="005D298A">
        <w:rPr>
          <w:sz w:val="24"/>
        </w:rPr>
        <w:t>but reports that it</w:t>
      </w:r>
      <w:r w:rsidRPr="00ED6009">
        <w:rPr>
          <w:sz w:val="24"/>
        </w:rPr>
        <w:t xml:space="preserve"> places a financial challenge on the institution because of time it takes to review a portfolio.</w:t>
      </w:r>
    </w:p>
    <w:p w:rsidR="007622A2" w:rsidRPr="00ED6009" w:rsidRDefault="007622A2" w:rsidP="00E1494C">
      <w:pPr>
        <w:autoSpaceDE w:val="0"/>
        <w:autoSpaceDN w:val="0"/>
        <w:adjustRightInd w:val="0"/>
        <w:jc w:val="both"/>
        <w:rPr>
          <w:color w:val="000000"/>
          <w:sz w:val="24"/>
        </w:rPr>
      </w:pPr>
    </w:p>
    <w:p w:rsidR="007622A2" w:rsidRDefault="007622A2" w:rsidP="007622A2">
      <w:pPr>
        <w:spacing w:after="120"/>
        <w:jc w:val="both"/>
        <w:rPr>
          <w:sz w:val="24"/>
        </w:rPr>
      </w:pPr>
      <w:r>
        <w:rPr>
          <w:sz w:val="24"/>
        </w:rPr>
        <w:t xml:space="preserve">As pertains to veterans in particular, </w:t>
      </w:r>
      <w:r w:rsidRPr="007622A2">
        <w:rPr>
          <w:sz w:val="24"/>
        </w:rPr>
        <w:t xml:space="preserve">CU Denver </w:t>
      </w:r>
      <w:r>
        <w:rPr>
          <w:sz w:val="24"/>
        </w:rPr>
        <w:t>created</w:t>
      </w:r>
      <w:r w:rsidRPr="007622A2">
        <w:rPr>
          <w:sz w:val="24"/>
        </w:rPr>
        <w:t xml:space="preserve"> a </w:t>
      </w:r>
      <w:r w:rsidR="00C54F58">
        <w:rPr>
          <w:sz w:val="24"/>
        </w:rPr>
        <w:t>“</w:t>
      </w:r>
      <w:r w:rsidRPr="007622A2">
        <w:rPr>
          <w:sz w:val="24"/>
        </w:rPr>
        <w:t>credit package.</w:t>
      </w:r>
      <w:r w:rsidR="00C54F58">
        <w:rPr>
          <w:sz w:val="24"/>
        </w:rPr>
        <w:t>”</w:t>
      </w:r>
      <w:r w:rsidRPr="007622A2">
        <w:rPr>
          <w:sz w:val="24"/>
        </w:rPr>
        <w:t> </w:t>
      </w:r>
      <w:r>
        <w:rPr>
          <w:sz w:val="24"/>
        </w:rPr>
        <w:t xml:space="preserve">A CU Denver representative reported, </w:t>
      </w:r>
    </w:p>
    <w:p w:rsidR="007622A2" w:rsidRDefault="007622A2" w:rsidP="007622A2">
      <w:pPr>
        <w:ind w:left="576" w:right="432"/>
        <w:jc w:val="both"/>
        <w:rPr>
          <w:sz w:val="24"/>
        </w:rPr>
      </w:pPr>
      <w:r w:rsidRPr="007622A2">
        <w:rPr>
          <w:sz w:val="24"/>
        </w:rPr>
        <w:t xml:space="preserve">A significant factor in our credit package for veterans is that we ended up with a general education, foreign language proficiency, experiential learning, and elective credit package; all of which depends on the extent of the military rank and overseas deployment.  </w:t>
      </w:r>
      <w:r>
        <w:rPr>
          <w:sz w:val="24"/>
        </w:rPr>
        <w:t xml:space="preserve">(Personal Communication, January 29, 2015) </w:t>
      </w:r>
    </w:p>
    <w:p w:rsidR="007622A2" w:rsidRDefault="007622A2" w:rsidP="007622A2">
      <w:pPr>
        <w:jc w:val="both"/>
        <w:rPr>
          <w:sz w:val="24"/>
        </w:rPr>
      </w:pPr>
    </w:p>
    <w:p w:rsidR="00DA5760" w:rsidRPr="007622A2" w:rsidRDefault="007622A2" w:rsidP="007622A2">
      <w:pPr>
        <w:jc w:val="both"/>
        <w:rPr>
          <w:color w:val="000000"/>
          <w:sz w:val="24"/>
        </w:rPr>
      </w:pPr>
      <w:r>
        <w:rPr>
          <w:sz w:val="24"/>
        </w:rPr>
        <w:t>Those numbers are reflected in the table below</w:t>
      </w:r>
      <w:r w:rsidR="00C54F58">
        <w:rPr>
          <w:sz w:val="24"/>
        </w:rPr>
        <w:t xml:space="preserve"> along with other data that</w:t>
      </w:r>
      <w:r>
        <w:rPr>
          <w:sz w:val="24"/>
        </w:rPr>
        <w:t xml:space="preserve"> </w:t>
      </w:r>
      <w:r w:rsidRPr="007622A2">
        <w:rPr>
          <w:sz w:val="24"/>
        </w:rPr>
        <w:t xml:space="preserve">CU System </w:t>
      </w:r>
      <w:r w:rsidR="00C54F58">
        <w:rPr>
          <w:sz w:val="24"/>
        </w:rPr>
        <w:t>has</w:t>
      </w:r>
      <w:r w:rsidRPr="007622A2">
        <w:rPr>
          <w:sz w:val="24"/>
        </w:rPr>
        <w:t xml:space="preserve"> been collecting on PLA credit awarded since fall 2010. </w:t>
      </w:r>
      <w:r w:rsidR="00B208AF" w:rsidRPr="007622A2">
        <w:rPr>
          <w:color w:val="000000"/>
          <w:sz w:val="24"/>
        </w:rPr>
        <w:t>Table 1 below shows the number of credits awarded</w:t>
      </w:r>
      <w:r>
        <w:rPr>
          <w:color w:val="000000"/>
          <w:sz w:val="24"/>
        </w:rPr>
        <w:t>, or waivers given,</w:t>
      </w:r>
      <w:r w:rsidR="00B208AF" w:rsidRPr="007622A2">
        <w:rPr>
          <w:color w:val="000000"/>
          <w:sz w:val="24"/>
        </w:rPr>
        <w:t xml:space="preserve"> by </w:t>
      </w:r>
      <w:r w:rsidR="00C54F58">
        <w:rPr>
          <w:color w:val="000000"/>
          <w:sz w:val="24"/>
        </w:rPr>
        <w:t xml:space="preserve">CU </w:t>
      </w:r>
      <w:r w:rsidR="00B208AF" w:rsidRPr="007622A2">
        <w:rPr>
          <w:color w:val="000000"/>
          <w:sz w:val="24"/>
        </w:rPr>
        <w:t>campus by type of PLA.</w:t>
      </w:r>
    </w:p>
    <w:p w:rsidR="007E2147" w:rsidRDefault="007E2147" w:rsidP="00DA5760">
      <w:pPr>
        <w:spacing w:before="100" w:beforeAutospacing="1" w:after="100" w:afterAutospacing="1"/>
        <w:rPr>
          <w:b/>
          <w:color w:val="000000"/>
          <w:sz w:val="24"/>
        </w:rPr>
      </w:pPr>
    </w:p>
    <w:p w:rsidR="00B208AF" w:rsidRPr="007622A2" w:rsidRDefault="00B208AF" w:rsidP="00DA5760">
      <w:pPr>
        <w:spacing w:before="100" w:beforeAutospacing="1" w:after="100" w:afterAutospacing="1"/>
        <w:rPr>
          <w:b/>
          <w:color w:val="000000"/>
          <w:sz w:val="24"/>
        </w:rPr>
      </w:pPr>
      <w:r w:rsidRPr="007622A2">
        <w:rPr>
          <w:b/>
          <w:color w:val="000000"/>
          <w:sz w:val="24"/>
        </w:rPr>
        <w:lastRenderedPageBreak/>
        <w:t>Table 1: CU System PLA Credits Awarded</w:t>
      </w:r>
      <w:r w:rsidR="007622A2" w:rsidRPr="007622A2">
        <w:rPr>
          <w:b/>
          <w:color w:val="000000"/>
          <w:sz w:val="24"/>
        </w:rPr>
        <w:t xml:space="preserve"> or Waivers Given</w:t>
      </w:r>
      <w:r w:rsidRPr="007622A2">
        <w:rPr>
          <w:b/>
          <w:color w:val="000000"/>
          <w:sz w:val="24"/>
        </w:rPr>
        <w:t xml:space="preserve"> by Campus by Type of PLA</w:t>
      </w:r>
    </w:p>
    <w:tbl>
      <w:tblPr>
        <w:tblW w:w="0" w:type="auto"/>
        <w:tblCellMar>
          <w:left w:w="0" w:type="dxa"/>
          <w:right w:w="0" w:type="dxa"/>
        </w:tblCellMar>
        <w:tblLook w:val="04A0" w:firstRow="1" w:lastRow="0" w:firstColumn="1" w:lastColumn="0" w:noHBand="0" w:noVBand="1"/>
      </w:tblPr>
      <w:tblGrid>
        <w:gridCol w:w="4071"/>
        <w:gridCol w:w="974"/>
        <w:gridCol w:w="2113"/>
        <w:gridCol w:w="1597"/>
        <w:gridCol w:w="821"/>
      </w:tblGrid>
      <w:tr w:rsidR="00DA5760" w:rsidTr="00B208A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A5760" w:rsidRDefault="00DA5760" w:rsidP="0038137F">
            <w:pPr>
              <w:spacing w:after="120"/>
              <w:jc w:val="center"/>
              <w:rPr>
                <w:rFonts w:ascii="Calibri" w:eastAsiaTheme="minorHAnsi" w:hAnsi="Calibri"/>
                <w:szCs w:val="22"/>
              </w:rPr>
            </w:pPr>
          </w:p>
          <w:p w:rsidR="00DA5760" w:rsidRDefault="00DA5760" w:rsidP="0038137F">
            <w:pPr>
              <w:spacing w:after="120"/>
              <w:jc w:val="center"/>
              <w:rPr>
                <w:rFonts w:ascii="Calibri" w:eastAsiaTheme="minorHAnsi" w:hAnsi="Calibri"/>
                <w:sz w:val="24"/>
              </w:rPr>
            </w:pPr>
            <w:r>
              <w:rPr>
                <w:b/>
                <w:bCs/>
              </w:rPr>
              <w:t>Prior Learning Credit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A5760" w:rsidRDefault="00DA5760" w:rsidP="0038137F">
            <w:pPr>
              <w:spacing w:after="120"/>
              <w:jc w:val="center"/>
              <w:rPr>
                <w:rFonts w:ascii="Calibri" w:eastAsiaTheme="minorHAnsi" w:hAnsi="Calibri"/>
                <w:szCs w:val="22"/>
              </w:rPr>
            </w:pPr>
          </w:p>
          <w:p w:rsidR="00DA5760" w:rsidRDefault="00DA5760" w:rsidP="0038137F">
            <w:pPr>
              <w:spacing w:after="120"/>
              <w:jc w:val="center"/>
              <w:rPr>
                <w:rFonts w:ascii="Calibri" w:eastAsiaTheme="minorHAnsi" w:hAnsi="Calibri"/>
                <w:sz w:val="24"/>
              </w:rPr>
            </w:pPr>
            <w:r>
              <w:rPr>
                <w:b/>
                <w:bCs/>
              </w:rPr>
              <w:t>Boulder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A5760" w:rsidRDefault="00DA5760" w:rsidP="0038137F">
            <w:pPr>
              <w:spacing w:after="120"/>
              <w:jc w:val="center"/>
              <w:rPr>
                <w:rFonts w:ascii="Calibri" w:eastAsiaTheme="minorHAnsi" w:hAnsi="Calibri"/>
                <w:sz w:val="24"/>
              </w:rPr>
            </w:pPr>
            <w:r>
              <w:rPr>
                <w:b/>
                <w:bCs/>
              </w:rPr>
              <w:t>Colorado Springs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A5760" w:rsidRDefault="00DA5760" w:rsidP="0038137F">
            <w:pPr>
              <w:spacing w:after="120"/>
              <w:jc w:val="center"/>
              <w:rPr>
                <w:rFonts w:ascii="Calibri" w:eastAsiaTheme="minorHAnsi" w:hAnsi="Calibri"/>
                <w:sz w:val="24"/>
              </w:rPr>
            </w:pPr>
            <w:r>
              <w:rPr>
                <w:b/>
                <w:bCs/>
              </w:rPr>
              <w:t>Denver | Anschutz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A5760" w:rsidRDefault="00DA5760" w:rsidP="0038137F">
            <w:pPr>
              <w:spacing w:after="120"/>
              <w:jc w:val="center"/>
              <w:rPr>
                <w:rFonts w:ascii="Calibri" w:eastAsiaTheme="minorHAnsi" w:hAnsi="Calibri"/>
                <w:szCs w:val="22"/>
              </w:rPr>
            </w:pPr>
          </w:p>
          <w:p w:rsidR="00DA5760" w:rsidRDefault="00DA5760" w:rsidP="0038137F">
            <w:pPr>
              <w:spacing w:after="120"/>
              <w:jc w:val="center"/>
              <w:rPr>
                <w:rFonts w:ascii="Calibri" w:eastAsiaTheme="minorHAnsi" w:hAnsi="Calibri"/>
                <w:sz w:val="24"/>
              </w:rPr>
            </w:pPr>
            <w:r>
              <w:rPr>
                <w:b/>
                <w:bCs/>
              </w:rPr>
              <w:t>Total</w:t>
            </w:r>
          </w:p>
        </w:tc>
      </w:tr>
      <w:tr w:rsidR="00DA5760" w:rsidTr="00B208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rPr>
                <w:rFonts w:ascii="Calibri" w:eastAsiaTheme="minorHAnsi" w:hAnsi="Calibri"/>
                <w:sz w:val="24"/>
              </w:rPr>
            </w:pPr>
            <w:r>
              <w:t> Advanced Placement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 w:val="24"/>
              </w:rPr>
            </w:pPr>
            <w:r>
              <w:t>12,989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 w:val="24"/>
              </w:rPr>
            </w:pPr>
            <w:r>
              <w:t>3,520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 w:val="24"/>
              </w:rPr>
            </w:pPr>
            <w:r>
              <w:t>2,189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 w:val="24"/>
              </w:rPr>
            </w:pPr>
            <w:r>
              <w:t>18,698</w:t>
            </w:r>
          </w:p>
        </w:tc>
      </w:tr>
      <w:tr w:rsidR="00DA5760" w:rsidTr="00B208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rPr>
                <w:rFonts w:ascii="Calibri" w:eastAsiaTheme="minorHAnsi" w:hAnsi="Calibri"/>
                <w:sz w:val="24"/>
              </w:rPr>
            </w:pPr>
            <w:r>
              <w:t> International Baccalaureate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 w:val="24"/>
              </w:rPr>
            </w:pPr>
            <w:r>
              <w:t>1,459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 w:val="24"/>
              </w:rPr>
            </w:pPr>
            <w:r>
              <w:t>226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 w:val="24"/>
              </w:rPr>
            </w:pPr>
            <w:r>
              <w:t>413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 w:val="24"/>
              </w:rPr>
            </w:pPr>
            <w:r>
              <w:t>2,098</w:t>
            </w:r>
          </w:p>
        </w:tc>
      </w:tr>
      <w:tr w:rsidR="00DA5760" w:rsidTr="00B208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rPr>
                <w:rFonts w:ascii="Calibri" w:eastAsiaTheme="minorHAnsi" w:hAnsi="Calibri"/>
                <w:sz w:val="24"/>
              </w:rPr>
            </w:pPr>
            <w:r>
              <w:t> College Level Examination Program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 w:val="24"/>
              </w:rPr>
            </w:pPr>
            <w: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 w:val="24"/>
              </w:rPr>
            </w:pPr>
            <w:r>
              <w:t>171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 w:val="24"/>
              </w:rPr>
            </w:pPr>
            <w:r>
              <w:t>163 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 w:val="24"/>
              </w:rPr>
            </w:pPr>
            <w:r>
              <w:t>424</w:t>
            </w:r>
          </w:p>
        </w:tc>
      </w:tr>
      <w:tr w:rsidR="00DA5760" w:rsidTr="0038137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rPr>
                <w:rFonts w:ascii="Calibri" w:eastAsiaTheme="minorHAnsi" w:hAnsi="Calibri"/>
                <w:szCs w:val="22"/>
              </w:rPr>
            </w:pPr>
            <w:r>
              <w:t>Veteran’s Affairs / Military Experience Program (CU Denver) /</w:t>
            </w:r>
          </w:p>
          <w:p w:rsidR="00DA5760" w:rsidRDefault="00DA5760" w:rsidP="0038137F">
            <w:pPr>
              <w:spacing w:after="120"/>
              <w:rPr>
                <w:rFonts w:ascii="Calibri" w:eastAsiaTheme="minorHAnsi" w:hAnsi="Calibri"/>
                <w:sz w:val="24"/>
              </w:rPr>
            </w:pPr>
            <w:r>
              <w:t>Military Credit (CU Boulder)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Cs w:val="22"/>
              </w:rPr>
            </w:pPr>
            <w:r>
              <w:t> </w:t>
            </w:r>
          </w:p>
          <w:p w:rsidR="00DA5760" w:rsidRDefault="00DA5760" w:rsidP="0038137F">
            <w:pPr>
              <w:spacing w:after="120"/>
              <w:jc w:val="right"/>
              <w:rPr>
                <w:rFonts w:ascii="Calibri" w:eastAsiaTheme="minorHAnsi" w:hAnsi="Calibri"/>
                <w:sz w:val="24"/>
              </w:rPr>
            </w:pPr>
            <w:r>
              <w:t>203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A5760" w:rsidRDefault="00DA5760" w:rsidP="0038137F">
            <w:pPr>
              <w:spacing w:after="120"/>
              <w:jc w:val="center"/>
              <w:rPr>
                <w:rFonts w:ascii="Calibri" w:eastAsiaTheme="minorHAnsi" w:hAnsi="Calibri"/>
                <w:sz w:val="24"/>
              </w:rPr>
            </w:pPr>
            <w:r>
              <w:t>(Policy approved 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Cs w:val="22"/>
              </w:rPr>
            </w:pPr>
            <w:r>
              <w:t> </w:t>
            </w:r>
          </w:p>
          <w:p w:rsidR="00DA5760" w:rsidRDefault="00DA5760" w:rsidP="0038137F">
            <w:pPr>
              <w:spacing w:after="120"/>
              <w:jc w:val="right"/>
              <w:rPr>
                <w:rFonts w:ascii="Calibri" w:eastAsiaTheme="minorHAnsi" w:hAnsi="Calibri"/>
                <w:sz w:val="24"/>
              </w:rPr>
            </w:pPr>
            <w:r>
              <w:t>265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Cs w:val="22"/>
              </w:rPr>
            </w:pPr>
            <w:r>
              <w:t> </w:t>
            </w:r>
          </w:p>
          <w:p w:rsidR="00DA5760" w:rsidRDefault="00DA5760" w:rsidP="0038137F">
            <w:pPr>
              <w:spacing w:after="120"/>
              <w:jc w:val="right"/>
              <w:rPr>
                <w:rFonts w:ascii="Calibri" w:eastAsiaTheme="minorHAnsi" w:hAnsi="Calibri"/>
                <w:sz w:val="24"/>
              </w:rPr>
            </w:pPr>
            <w:r>
              <w:t>468</w:t>
            </w:r>
          </w:p>
        </w:tc>
      </w:tr>
      <w:tr w:rsidR="00DA5760" w:rsidTr="00B208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pPr>
            <w:r>
              <w:t> Defense Language Institute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 w:val="24"/>
              </w:rPr>
            </w:pPr>
            <w:r>
              <w:t>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A5760" w:rsidRDefault="00DA5760" w:rsidP="0038137F">
            <w:pPr>
              <w:spacing w:after="120"/>
              <w:jc w:val="right"/>
              <w:rPr>
                <w:rFonts w:ascii="Calibri" w:eastAsiaTheme="minorHAnsi" w:hAnsi="Calibri"/>
                <w:sz w:val="24"/>
              </w:rPr>
            </w:pPr>
            <w:r>
              <w:t>58</w:t>
            </w:r>
          </w:p>
        </w:tc>
      </w:tr>
    </w:tbl>
    <w:p w:rsidR="00DA5760" w:rsidRDefault="00DA5760" w:rsidP="001C64F3">
      <w:pPr>
        <w:jc w:val="both"/>
        <w:outlineLvl w:val="0"/>
        <w:rPr>
          <w:sz w:val="24"/>
        </w:rPr>
      </w:pPr>
    </w:p>
    <w:p w:rsidR="00E1494C" w:rsidRPr="007622A2" w:rsidRDefault="007622A2" w:rsidP="001C64F3">
      <w:pPr>
        <w:jc w:val="both"/>
        <w:outlineLvl w:val="0"/>
        <w:rPr>
          <w:sz w:val="24"/>
        </w:rPr>
      </w:pPr>
      <w:r w:rsidRPr="007622A2">
        <w:rPr>
          <w:sz w:val="24"/>
        </w:rPr>
        <w:t>As Appendix A and the information provided here show, Colorado’s public ins</w:t>
      </w:r>
      <w:r>
        <w:rPr>
          <w:sz w:val="24"/>
        </w:rPr>
        <w:t>titutions of higher education</w:t>
      </w:r>
      <w:r w:rsidRPr="007622A2">
        <w:rPr>
          <w:sz w:val="24"/>
        </w:rPr>
        <w:t xml:space="preserve"> award and accept PLA credit, at least to some extent, for most types of PLA. </w:t>
      </w:r>
      <w:r w:rsidR="005D298A">
        <w:rPr>
          <w:sz w:val="24"/>
        </w:rPr>
        <w:t xml:space="preserve">In fact, Colorado institutions award more types of PLA than many of the institutions in the states that will be highlighted later in Appendix B. There is always room for improvement, however. An area to improve in Colorado </w:t>
      </w:r>
      <w:r w:rsidR="00ED2758">
        <w:rPr>
          <w:sz w:val="24"/>
        </w:rPr>
        <w:t xml:space="preserve">is </w:t>
      </w:r>
      <w:r w:rsidRPr="007622A2">
        <w:rPr>
          <w:sz w:val="24"/>
        </w:rPr>
        <w:t xml:space="preserve">inconsistency </w:t>
      </w:r>
      <w:r w:rsidR="00ED2758">
        <w:rPr>
          <w:sz w:val="24"/>
        </w:rPr>
        <w:t>between</w:t>
      </w:r>
      <w:r w:rsidR="00ED2758" w:rsidRPr="007622A2">
        <w:rPr>
          <w:sz w:val="24"/>
        </w:rPr>
        <w:t xml:space="preserve"> </w:t>
      </w:r>
      <w:r w:rsidRPr="007622A2">
        <w:rPr>
          <w:sz w:val="24"/>
        </w:rPr>
        <w:t>institutions’ policies and procedures, which leads to confusion amongst students and advisors and is probably one of the main causes for loss of credit in transfer</w:t>
      </w:r>
      <w:r>
        <w:rPr>
          <w:sz w:val="24"/>
        </w:rPr>
        <w:t xml:space="preserve"> (as will be explained below)</w:t>
      </w:r>
      <w:r w:rsidRPr="007622A2">
        <w:rPr>
          <w:sz w:val="24"/>
        </w:rPr>
        <w:t xml:space="preserve">. Another </w:t>
      </w:r>
      <w:r w:rsidR="00ED2758">
        <w:rPr>
          <w:sz w:val="24"/>
        </w:rPr>
        <w:t>concern</w:t>
      </w:r>
      <w:r w:rsidR="00ED2758" w:rsidRPr="007622A2">
        <w:rPr>
          <w:sz w:val="24"/>
        </w:rPr>
        <w:t xml:space="preserve"> </w:t>
      </w:r>
      <w:r w:rsidRPr="007622A2">
        <w:rPr>
          <w:sz w:val="24"/>
        </w:rPr>
        <w:t xml:space="preserve">is that the policies </w:t>
      </w:r>
      <w:r w:rsidR="00ED2758">
        <w:rPr>
          <w:sz w:val="24"/>
        </w:rPr>
        <w:t xml:space="preserve">may be </w:t>
      </w:r>
      <w:r w:rsidR="005369B3">
        <w:rPr>
          <w:sz w:val="24"/>
        </w:rPr>
        <w:t xml:space="preserve">unnecessarily restrictive in how PLA credit can be applied and </w:t>
      </w:r>
      <w:r w:rsidRPr="007622A2">
        <w:rPr>
          <w:sz w:val="24"/>
        </w:rPr>
        <w:t xml:space="preserve">often </w:t>
      </w:r>
      <w:r w:rsidR="005369B3">
        <w:rPr>
          <w:sz w:val="24"/>
        </w:rPr>
        <w:t xml:space="preserve">are </w:t>
      </w:r>
      <w:r w:rsidRPr="007622A2">
        <w:rPr>
          <w:sz w:val="24"/>
        </w:rPr>
        <w:t xml:space="preserve">not explained sufficiently. </w:t>
      </w:r>
      <w:r w:rsidR="00A424C8" w:rsidRPr="007622A2">
        <w:rPr>
          <w:sz w:val="24"/>
        </w:rPr>
        <w:t>For instance, one institution’s challenge exam policy</w:t>
      </w:r>
      <w:r w:rsidR="00ED2758">
        <w:rPr>
          <w:sz w:val="24"/>
        </w:rPr>
        <w:t>, as stated in its course catalog,</w:t>
      </w:r>
      <w:r w:rsidR="00A424C8" w:rsidRPr="007622A2">
        <w:rPr>
          <w:sz w:val="24"/>
        </w:rPr>
        <w:t xml:space="preserve"> is, “Students interested in challenging a Liberal Arts Core course should contact the appropriate program to determine the availability of a challenge examination.”</w:t>
      </w:r>
    </w:p>
    <w:p w:rsidR="00A424C8" w:rsidRDefault="00A424C8" w:rsidP="001C64F3">
      <w:pPr>
        <w:jc w:val="both"/>
        <w:outlineLvl w:val="0"/>
        <w:rPr>
          <w:i/>
          <w:sz w:val="24"/>
        </w:rPr>
      </w:pPr>
    </w:p>
    <w:p w:rsidR="00647983" w:rsidRDefault="00647983" w:rsidP="001C64F3">
      <w:pPr>
        <w:jc w:val="both"/>
        <w:outlineLvl w:val="0"/>
        <w:rPr>
          <w:i/>
          <w:sz w:val="24"/>
        </w:rPr>
      </w:pPr>
      <w:r>
        <w:rPr>
          <w:i/>
          <w:sz w:val="24"/>
        </w:rPr>
        <w:t>Colorado Policy Barriers</w:t>
      </w:r>
    </w:p>
    <w:p w:rsidR="002A5701" w:rsidRDefault="002A5701" w:rsidP="001C64F3">
      <w:pPr>
        <w:jc w:val="both"/>
        <w:outlineLvl w:val="0"/>
        <w:rPr>
          <w:i/>
          <w:sz w:val="24"/>
        </w:rPr>
      </w:pPr>
    </w:p>
    <w:p w:rsidR="002A5701" w:rsidRDefault="00E1494C" w:rsidP="002A5701">
      <w:pPr>
        <w:jc w:val="both"/>
        <w:outlineLvl w:val="0"/>
        <w:rPr>
          <w:sz w:val="24"/>
        </w:rPr>
      </w:pPr>
      <w:r>
        <w:rPr>
          <w:sz w:val="24"/>
        </w:rPr>
        <w:t>Though</w:t>
      </w:r>
      <w:r w:rsidR="002A5701" w:rsidRPr="008873EC">
        <w:rPr>
          <w:sz w:val="24"/>
        </w:rPr>
        <w:t xml:space="preserve"> Colorado </w:t>
      </w:r>
      <w:r w:rsidR="002A5701">
        <w:rPr>
          <w:sz w:val="24"/>
        </w:rPr>
        <w:t xml:space="preserve">institutions </w:t>
      </w:r>
      <w:r>
        <w:rPr>
          <w:sz w:val="24"/>
        </w:rPr>
        <w:t xml:space="preserve">offer </w:t>
      </w:r>
      <w:r w:rsidR="005D298A">
        <w:rPr>
          <w:sz w:val="24"/>
        </w:rPr>
        <w:t xml:space="preserve">a good deal of </w:t>
      </w:r>
      <w:r>
        <w:rPr>
          <w:sz w:val="24"/>
        </w:rPr>
        <w:t xml:space="preserve">PLA, </w:t>
      </w:r>
      <w:r w:rsidR="002A5701">
        <w:rPr>
          <w:sz w:val="24"/>
        </w:rPr>
        <w:t xml:space="preserve">several policy and practice barriers </w:t>
      </w:r>
      <w:r w:rsidR="005D298A">
        <w:rPr>
          <w:sz w:val="24"/>
        </w:rPr>
        <w:t xml:space="preserve">remain and </w:t>
      </w:r>
      <w:r w:rsidR="002A5701">
        <w:rPr>
          <w:sz w:val="24"/>
        </w:rPr>
        <w:t xml:space="preserve">hinder </w:t>
      </w:r>
      <w:r>
        <w:rPr>
          <w:sz w:val="24"/>
        </w:rPr>
        <w:t>degree completion</w:t>
      </w:r>
      <w:r w:rsidR="002A5701">
        <w:rPr>
          <w:sz w:val="24"/>
        </w:rPr>
        <w:t>.</w:t>
      </w:r>
      <w:r w:rsidR="00426944">
        <w:rPr>
          <w:sz w:val="24"/>
        </w:rPr>
        <w:t xml:space="preserve"> </w:t>
      </w:r>
      <w:r>
        <w:rPr>
          <w:sz w:val="24"/>
        </w:rPr>
        <w:t xml:space="preserve">One of the biggest barriers occurs during transfer. </w:t>
      </w:r>
      <w:r w:rsidR="00B0061E">
        <w:rPr>
          <w:sz w:val="24"/>
        </w:rPr>
        <w:t>Unfortunately,</w:t>
      </w:r>
      <w:r w:rsidR="002A5701">
        <w:rPr>
          <w:sz w:val="24"/>
        </w:rPr>
        <w:t xml:space="preserve"> credits awarded </w:t>
      </w:r>
      <w:r w:rsidR="00AA3C9D">
        <w:rPr>
          <w:sz w:val="24"/>
        </w:rPr>
        <w:t>previously by one institution are</w:t>
      </w:r>
      <w:r w:rsidR="002A5701">
        <w:rPr>
          <w:sz w:val="24"/>
        </w:rPr>
        <w:t xml:space="preserve"> </w:t>
      </w:r>
      <w:r w:rsidR="00AA3C9D">
        <w:rPr>
          <w:sz w:val="24"/>
        </w:rPr>
        <w:t xml:space="preserve">sometimes </w:t>
      </w:r>
      <w:r w:rsidR="002A5701">
        <w:rPr>
          <w:sz w:val="24"/>
        </w:rPr>
        <w:t xml:space="preserve">not accepted in transfer by </w:t>
      </w:r>
      <w:r w:rsidR="00AA3C9D">
        <w:rPr>
          <w:sz w:val="24"/>
        </w:rPr>
        <w:t>the receiving</w:t>
      </w:r>
      <w:r w:rsidR="002A5701">
        <w:rPr>
          <w:sz w:val="24"/>
        </w:rPr>
        <w:t xml:space="preserve"> institution</w:t>
      </w:r>
      <w:r w:rsidR="00AA3C9D">
        <w:rPr>
          <w:sz w:val="24"/>
        </w:rPr>
        <w:t>, even though those credits probably meet degree requirements</w:t>
      </w:r>
      <w:r w:rsidR="00C54F58">
        <w:rPr>
          <w:sz w:val="24"/>
        </w:rPr>
        <w:t xml:space="preserve"> at the receiving institution</w:t>
      </w:r>
      <w:r w:rsidR="002A5701">
        <w:rPr>
          <w:sz w:val="24"/>
        </w:rPr>
        <w:t>. Also, research indicates that adults who believe they have skills they can demonstrate</w:t>
      </w:r>
      <w:r w:rsidR="00AA3C9D">
        <w:rPr>
          <w:sz w:val="24"/>
        </w:rPr>
        <w:t>,</w:t>
      </w:r>
      <w:r w:rsidR="002A5701">
        <w:rPr>
          <w:sz w:val="24"/>
        </w:rPr>
        <w:t xml:space="preserve"> but are not given the chance to </w:t>
      </w:r>
      <w:r w:rsidR="00CA095A">
        <w:rPr>
          <w:sz w:val="24"/>
        </w:rPr>
        <w:t>demonstrate</w:t>
      </w:r>
      <w:r w:rsidR="002A5701">
        <w:rPr>
          <w:sz w:val="24"/>
        </w:rPr>
        <w:t xml:space="preserve"> it and earn credit towards degree requirements</w:t>
      </w:r>
      <w:r w:rsidR="00AA3C9D">
        <w:rPr>
          <w:sz w:val="24"/>
        </w:rPr>
        <w:t>,</w:t>
      </w:r>
      <w:r w:rsidR="002A5701">
        <w:rPr>
          <w:sz w:val="24"/>
        </w:rPr>
        <w:t xml:space="preserve"> feel “put off” by higher education institutions and delay returning to school.  The following barriers are examples that result from inconsistencies in Colorado statute and Commission policy:</w:t>
      </w:r>
    </w:p>
    <w:p w:rsidR="002A5701" w:rsidRPr="00E1329F" w:rsidRDefault="002A5701" w:rsidP="002A5701">
      <w:pPr>
        <w:jc w:val="both"/>
        <w:outlineLvl w:val="0"/>
        <w:rPr>
          <w:sz w:val="24"/>
        </w:rPr>
      </w:pPr>
    </w:p>
    <w:p w:rsidR="002A5701" w:rsidRPr="00DA4CAC" w:rsidRDefault="002A5701" w:rsidP="002A5701">
      <w:pPr>
        <w:pStyle w:val="ListParagraph"/>
        <w:numPr>
          <w:ilvl w:val="0"/>
          <w:numId w:val="14"/>
        </w:numPr>
        <w:spacing w:after="120" w:line="240" w:lineRule="auto"/>
        <w:contextualSpacing w:val="0"/>
        <w:jc w:val="both"/>
        <w:outlineLvl w:val="0"/>
        <w:rPr>
          <w:rFonts w:ascii="Times New Roman" w:hAnsi="Times New Roman"/>
          <w:sz w:val="24"/>
          <w:szCs w:val="24"/>
        </w:rPr>
      </w:pPr>
      <w:r w:rsidRPr="00DA4CAC">
        <w:rPr>
          <w:rFonts w:ascii="Times New Roman" w:hAnsi="Times New Roman"/>
          <w:sz w:val="24"/>
        </w:rPr>
        <w:t xml:space="preserve">Commission Policy I, L allows four-year institutions to set their own cut scores for PLA, which results in some students losing credit upon transfer even though they followed the statewide transfer articulation agreement and were awarded an associate degree. </w:t>
      </w:r>
      <w:r w:rsidR="00C54F58">
        <w:rPr>
          <w:rFonts w:ascii="Times New Roman" w:hAnsi="Times New Roman"/>
          <w:sz w:val="24"/>
        </w:rPr>
        <w:t>In one scenario,</w:t>
      </w:r>
      <w:r w:rsidRPr="00DA4CAC">
        <w:rPr>
          <w:rFonts w:ascii="Times New Roman" w:hAnsi="Times New Roman"/>
          <w:sz w:val="24"/>
        </w:rPr>
        <w:t xml:space="preserve"> </w:t>
      </w:r>
      <w:r>
        <w:rPr>
          <w:rFonts w:ascii="Times New Roman" w:hAnsi="Times New Roman"/>
          <w:sz w:val="24"/>
          <w:szCs w:val="24"/>
        </w:rPr>
        <w:t>a student gets</w:t>
      </w:r>
      <w:r w:rsidRPr="00DA4CAC">
        <w:rPr>
          <w:rFonts w:ascii="Times New Roman" w:hAnsi="Times New Roman"/>
          <w:sz w:val="24"/>
          <w:szCs w:val="24"/>
        </w:rPr>
        <w:t xml:space="preserve"> a score of 3 on the AP Biology exam, is awarded 3 credits for Introductory Biology</w:t>
      </w:r>
      <w:r>
        <w:rPr>
          <w:rFonts w:ascii="Times New Roman" w:hAnsi="Times New Roman"/>
          <w:sz w:val="24"/>
          <w:szCs w:val="24"/>
        </w:rPr>
        <w:t xml:space="preserve"> by a community college</w:t>
      </w:r>
      <w:r w:rsidRPr="00DA4CAC">
        <w:rPr>
          <w:rFonts w:ascii="Times New Roman" w:hAnsi="Times New Roman"/>
          <w:sz w:val="24"/>
          <w:szCs w:val="24"/>
        </w:rPr>
        <w:t xml:space="preserve">, the student transfers but the receiving four-year institution informs the student they require a score of 4 on that AP exam, so the student loses those three credits and they have to take extra coursework. Even though </w:t>
      </w:r>
      <w:r w:rsidRPr="00DA4CAC">
        <w:rPr>
          <w:rFonts w:ascii="Times New Roman" w:hAnsi="Times New Roman"/>
          <w:sz w:val="24"/>
          <w:szCs w:val="24"/>
        </w:rPr>
        <w:lastRenderedPageBreak/>
        <w:t>Introductory Biology is a gtPathways-approved course, and</w:t>
      </w:r>
      <w:r w:rsidR="00AA3C9D">
        <w:rPr>
          <w:rFonts w:ascii="Times New Roman" w:hAnsi="Times New Roman"/>
          <w:sz w:val="24"/>
          <w:szCs w:val="24"/>
        </w:rPr>
        <w:t xml:space="preserve"> the implication is that it is guaranteed,</w:t>
      </w:r>
      <w:r w:rsidRPr="00DA4CAC">
        <w:rPr>
          <w:rFonts w:ascii="Times New Roman" w:hAnsi="Times New Roman"/>
          <w:sz w:val="24"/>
          <w:szCs w:val="24"/>
        </w:rPr>
        <w:t xml:space="preserve"> in reality it is </w:t>
      </w:r>
      <w:r>
        <w:rPr>
          <w:rFonts w:ascii="Times New Roman" w:hAnsi="Times New Roman"/>
          <w:sz w:val="24"/>
          <w:szCs w:val="24"/>
        </w:rPr>
        <w:t xml:space="preserve">sometimes </w:t>
      </w:r>
      <w:r w:rsidRPr="00DA4CAC">
        <w:rPr>
          <w:rFonts w:ascii="Times New Roman" w:hAnsi="Times New Roman"/>
          <w:sz w:val="24"/>
          <w:szCs w:val="24"/>
        </w:rPr>
        <w:t>not</w:t>
      </w:r>
      <w:r w:rsidR="00AA3C9D">
        <w:rPr>
          <w:rFonts w:ascii="Times New Roman" w:hAnsi="Times New Roman"/>
          <w:sz w:val="24"/>
          <w:szCs w:val="24"/>
        </w:rPr>
        <w:t xml:space="preserve"> guaranteed</w:t>
      </w:r>
      <w:r w:rsidRPr="00DA4CAC">
        <w:rPr>
          <w:rFonts w:ascii="Times New Roman" w:hAnsi="Times New Roman"/>
          <w:sz w:val="24"/>
          <w:szCs w:val="24"/>
        </w:rPr>
        <w:t>.</w:t>
      </w:r>
    </w:p>
    <w:p w:rsidR="002A5701" w:rsidRDefault="002A5701" w:rsidP="002A5701">
      <w:pPr>
        <w:pStyle w:val="ListParagraph"/>
        <w:numPr>
          <w:ilvl w:val="0"/>
          <w:numId w:val="14"/>
        </w:numPr>
        <w:spacing w:after="120" w:line="240" w:lineRule="auto"/>
        <w:contextualSpacing w:val="0"/>
        <w:jc w:val="both"/>
        <w:rPr>
          <w:rFonts w:ascii="Times New Roman" w:hAnsi="Times New Roman"/>
          <w:sz w:val="24"/>
        </w:rPr>
      </w:pPr>
      <w:r w:rsidRPr="00DA4CAC">
        <w:rPr>
          <w:rFonts w:ascii="Times New Roman" w:hAnsi="Times New Roman"/>
          <w:sz w:val="24"/>
        </w:rPr>
        <w:t>This loss of credit also happens in the case of International Baccalaureate because some institutions have</w:t>
      </w:r>
      <w:r>
        <w:rPr>
          <w:rFonts w:ascii="Times New Roman" w:hAnsi="Times New Roman"/>
          <w:sz w:val="24"/>
        </w:rPr>
        <w:t xml:space="preserve"> higher</w:t>
      </w:r>
      <w:r w:rsidRPr="00DA4CAC">
        <w:rPr>
          <w:rFonts w:ascii="Times New Roman" w:hAnsi="Times New Roman"/>
          <w:sz w:val="24"/>
        </w:rPr>
        <w:t xml:space="preserve"> cut scores for IB exams than others. </w:t>
      </w:r>
    </w:p>
    <w:p w:rsidR="002A5701" w:rsidRDefault="00EA1D4C" w:rsidP="002A5701">
      <w:pPr>
        <w:pStyle w:val="ListParagraph"/>
        <w:numPr>
          <w:ilvl w:val="0"/>
          <w:numId w:val="14"/>
        </w:numPr>
        <w:spacing w:after="120" w:line="240" w:lineRule="auto"/>
        <w:contextualSpacing w:val="0"/>
        <w:jc w:val="both"/>
        <w:rPr>
          <w:rFonts w:ascii="Times New Roman" w:hAnsi="Times New Roman"/>
          <w:sz w:val="24"/>
        </w:rPr>
      </w:pPr>
      <w:r>
        <w:rPr>
          <w:rFonts w:ascii="Times New Roman" w:hAnsi="Times New Roman"/>
          <w:sz w:val="24"/>
        </w:rPr>
        <w:t>T</w:t>
      </w:r>
      <w:r w:rsidRPr="00FD0F6A">
        <w:rPr>
          <w:rFonts w:ascii="Times New Roman" w:hAnsi="Times New Roman"/>
          <w:sz w:val="24"/>
          <w:szCs w:val="24"/>
        </w:rPr>
        <w:t>he fact that all institutions are currently allowed to set their own cut scores on prior learning assessments obfuscates and makes moot some</w:t>
      </w:r>
      <w:r>
        <w:rPr>
          <w:rFonts w:ascii="Times New Roman" w:hAnsi="Times New Roman"/>
          <w:sz w:val="24"/>
          <w:szCs w:val="24"/>
        </w:rPr>
        <w:t xml:space="preserve"> of the </w:t>
      </w:r>
      <w:r w:rsidRPr="00FD0F6A">
        <w:rPr>
          <w:rFonts w:ascii="Times New Roman" w:hAnsi="Times New Roman"/>
          <w:sz w:val="24"/>
          <w:szCs w:val="24"/>
        </w:rPr>
        <w:t>guarantee</w:t>
      </w:r>
      <w:r>
        <w:rPr>
          <w:rFonts w:ascii="Times New Roman" w:hAnsi="Times New Roman"/>
          <w:sz w:val="24"/>
          <w:szCs w:val="24"/>
        </w:rPr>
        <w:t>s in the</w:t>
      </w:r>
      <w:r w:rsidRPr="00FD0F6A">
        <w:rPr>
          <w:rFonts w:ascii="Times New Roman" w:hAnsi="Times New Roman"/>
          <w:sz w:val="24"/>
          <w:szCs w:val="24"/>
        </w:rPr>
        <w:t xml:space="preserve"> Student Bill of Rights</w:t>
      </w:r>
      <w:r w:rsidR="002A5701" w:rsidRPr="00FD0F6A">
        <w:rPr>
          <w:rFonts w:ascii="Times New Roman" w:hAnsi="Times New Roman"/>
          <w:sz w:val="24"/>
        </w:rPr>
        <w:t xml:space="preserve"> [§23-1-125(1), C.R.S.]</w:t>
      </w:r>
      <w:r>
        <w:rPr>
          <w:rFonts w:ascii="Times New Roman" w:hAnsi="Times New Roman"/>
          <w:sz w:val="24"/>
        </w:rPr>
        <w:t>, which</w:t>
      </w:r>
      <w:r w:rsidR="002A5701" w:rsidRPr="00FD0F6A">
        <w:rPr>
          <w:rFonts w:ascii="Times New Roman" w:hAnsi="Times New Roman"/>
          <w:sz w:val="24"/>
        </w:rPr>
        <w:t xml:space="preserve">  states, “(d) Students have a right to know which courses are transferable among the state public two-year and four-year institutions of higher education; (e) Students, upon completion of core general education courses, regardless of the delivery method, should have those courses satisfy the core course requirements of all Colorado public institutions of higher education; [and] (f) Students have a right to know if courses from one or more public higher education institutions satisfy the students' degree requirements…”  </w:t>
      </w:r>
    </w:p>
    <w:p w:rsidR="002A5701" w:rsidRDefault="002A5701" w:rsidP="002A5701">
      <w:pPr>
        <w:pStyle w:val="ListParagraph"/>
        <w:numPr>
          <w:ilvl w:val="0"/>
          <w:numId w:val="14"/>
        </w:numPr>
        <w:spacing w:after="120" w:line="240" w:lineRule="auto"/>
        <w:contextualSpacing w:val="0"/>
        <w:jc w:val="both"/>
        <w:rPr>
          <w:rFonts w:ascii="Times New Roman" w:hAnsi="Times New Roman"/>
          <w:sz w:val="24"/>
        </w:rPr>
      </w:pPr>
      <w:r w:rsidRPr="00FD0F6A">
        <w:rPr>
          <w:rFonts w:ascii="Times New Roman" w:hAnsi="Times New Roman"/>
          <w:sz w:val="24"/>
          <w:szCs w:val="24"/>
        </w:rPr>
        <w:t xml:space="preserve">Colorado Revised Statute </w:t>
      </w:r>
      <w:r w:rsidRPr="00FD0F6A">
        <w:rPr>
          <w:rFonts w:ascii="Times New Roman" w:hAnsi="Times New Roman"/>
          <w:sz w:val="24"/>
        </w:rPr>
        <w:t>§23-1-125(4) states, “</w:t>
      </w:r>
      <w:r w:rsidRPr="00262834">
        <w:rPr>
          <w:rFonts w:ascii="Times New Roman" w:hAnsi="Times New Roman"/>
          <w:sz w:val="24"/>
        </w:rPr>
        <w:t>(4) Competency testing. On or before July 1, 2010, the commission shall, in consultation with each public institution of higher education, define a process for students to test out of core courses, including specifying use of a national test or the criteria for approving institutionally devised tests.</w:t>
      </w:r>
      <w:r w:rsidRPr="00576131">
        <w:rPr>
          <w:sz w:val="24"/>
        </w:rPr>
        <w:t xml:space="preserve"> </w:t>
      </w:r>
      <w:r w:rsidRPr="00FD0F6A">
        <w:rPr>
          <w:rFonts w:ascii="Times New Roman" w:hAnsi="Times New Roman"/>
          <w:sz w:val="24"/>
        </w:rPr>
        <w:t>…Beginning in the 2010-11 academic year, each public institution of higher education shall grant full course credits to students for the core courses they successfully test out of, free of tuition for those courses.” However, staff believe</w:t>
      </w:r>
      <w:r>
        <w:rPr>
          <w:rFonts w:ascii="Times New Roman" w:hAnsi="Times New Roman"/>
          <w:sz w:val="24"/>
        </w:rPr>
        <w:t>s</w:t>
      </w:r>
      <w:r w:rsidRPr="00FD0F6A">
        <w:rPr>
          <w:rFonts w:ascii="Times New Roman" w:hAnsi="Times New Roman"/>
          <w:sz w:val="24"/>
        </w:rPr>
        <w:t xml:space="preserve"> students don’t know about this law, institutions do little to advertise it and few students are given the opportunity to test out. </w:t>
      </w:r>
    </w:p>
    <w:p w:rsidR="00336961" w:rsidRDefault="00740AF6" w:rsidP="00336961">
      <w:pPr>
        <w:pStyle w:val="ListParagraph"/>
        <w:numPr>
          <w:ilvl w:val="0"/>
          <w:numId w:val="14"/>
        </w:numPr>
        <w:spacing w:after="120" w:line="240" w:lineRule="auto"/>
        <w:contextualSpacing w:val="0"/>
        <w:jc w:val="both"/>
        <w:rPr>
          <w:rFonts w:ascii="Times New Roman" w:hAnsi="Times New Roman"/>
          <w:sz w:val="24"/>
        </w:rPr>
      </w:pPr>
      <w:r>
        <w:rPr>
          <w:rFonts w:ascii="Times New Roman" w:hAnsi="Times New Roman"/>
          <w:sz w:val="24"/>
        </w:rPr>
        <w:t>T</w:t>
      </w:r>
      <w:r w:rsidR="002A5701" w:rsidRPr="00FD0F6A">
        <w:rPr>
          <w:rFonts w:ascii="Times New Roman" w:hAnsi="Times New Roman"/>
          <w:sz w:val="24"/>
        </w:rPr>
        <w:t>hough Colorado Revised Statute §23-1-125(4.5), created in 2012, states that, “Beginning in the 2013-14 academic year, each public institution of higher education shall adopt and make public a policy or program to determine academic credit for prior learning,” this law</w:t>
      </w:r>
      <w:r w:rsidR="002A5701" w:rsidRPr="00FD0F6A">
        <w:rPr>
          <w:rFonts w:ascii="Times New Roman" w:hAnsi="Times New Roman"/>
          <w:sz w:val="24"/>
          <w:szCs w:val="24"/>
        </w:rPr>
        <w:t xml:space="preserve"> did not </w:t>
      </w:r>
      <w:r w:rsidR="00162FA3">
        <w:rPr>
          <w:rFonts w:ascii="Times New Roman" w:hAnsi="Times New Roman"/>
          <w:sz w:val="24"/>
          <w:szCs w:val="24"/>
        </w:rPr>
        <w:t>result in significant change</w:t>
      </w:r>
      <w:r w:rsidR="002A5701" w:rsidRPr="00FD0F6A">
        <w:rPr>
          <w:rFonts w:ascii="Times New Roman" w:hAnsi="Times New Roman"/>
          <w:sz w:val="24"/>
          <w:szCs w:val="24"/>
        </w:rPr>
        <w:t xml:space="preserve">. All institutions already had policies on credit for prior learning. </w:t>
      </w:r>
      <w:r w:rsidR="00EA1D4C">
        <w:rPr>
          <w:rFonts w:ascii="Times New Roman" w:hAnsi="Times New Roman"/>
          <w:sz w:val="24"/>
          <w:szCs w:val="24"/>
        </w:rPr>
        <w:t>However,</w:t>
      </w:r>
      <w:r w:rsidR="002A5701" w:rsidRPr="00FD0F6A">
        <w:rPr>
          <w:rFonts w:ascii="Times New Roman" w:hAnsi="Times New Roman"/>
          <w:sz w:val="24"/>
          <w:szCs w:val="24"/>
        </w:rPr>
        <w:t xml:space="preserve"> some institutions don’t accept some forms of PLA</w:t>
      </w:r>
      <w:r w:rsidR="00EA1D4C">
        <w:rPr>
          <w:rFonts w:ascii="Times New Roman" w:hAnsi="Times New Roman"/>
          <w:sz w:val="24"/>
          <w:szCs w:val="24"/>
        </w:rPr>
        <w:t xml:space="preserve"> and place burdensome restrictions on others. Another problem is</w:t>
      </w:r>
      <w:r w:rsidR="002A5701" w:rsidRPr="00FD0F6A">
        <w:rPr>
          <w:rFonts w:ascii="Times New Roman" w:hAnsi="Times New Roman"/>
          <w:sz w:val="24"/>
          <w:szCs w:val="24"/>
        </w:rPr>
        <w:t xml:space="preserve"> that there is no standard, statewide cut score for </w:t>
      </w:r>
      <w:r w:rsidR="00EA1D4C">
        <w:rPr>
          <w:rFonts w:ascii="Times New Roman" w:hAnsi="Times New Roman"/>
          <w:sz w:val="24"/>
          <w:szCs w:val="24"/>
        </w:rPr>
        <w:t>standardized exams</w:t>
      </w:r>
      <w:r w:rsidR="002A5701" w:rsidRPr="00FD0F6A">
        <w:rPr>
          <w:rFonts w:ascii="Times New Roman" w:hAnsi="Times New Roman"/>
          <w:sz w:val="24"/>
          <w:szCs w:val="24"/>
        </w:rPr>
        <w:t xml:space="preserve"> and this leads to loss of credit and probably keeps some students out of school or leads them to private and proprietary </w:t>
      </w:r>
      <w:r w:rsidR="002A5701" w:rsidRPr="00740AF6">
        <w:rPr>
          <w:rFonts w:ascii="Times New Roman" w:hAnsi="Times New Roman"/>
          <w:sz w:val="24"/>
          <w:szCs w:val="24"/>
        </w:rPr>
        <w:t>institutions, most of which have more generous policies on PLA.</w:t>
      </w:r>
    </w:p>
    <w:p w:rsidR="002A5701" w:rsidRPr="00336961" w:rsidRDefault="00511BE1" w:rsidP="00336961">
      <w:pPr>
        <w:pStyle w:val="ListParagraph"/>
        <w:numPr>
          <w:ilvl w:val="0"/>
          <w:numId w:val="14"/>
        </w:numPr>
        <w:spacing w:after="120" w:line="240" w:lineRule="auto"/>
        <w:contextualSpacing w:val="0"/>
        <w:jc w:val="both"/>
        <w:rPr>
          <w:rFonts w:ascii="Times New Roman" w:hAnsi="Times New Roman"/>
          <w:sz w:val="24"/>
        </w:rPr>
      </w:pPr>
      <w:r w:rsidRPr="00336961">
        <w:rPr>
          <w:rFonts w:ascii="Times New Roman" w:hAnsi="Times New Roman"/>
          <w:sz w:val="24"/>
        </w:rPr>
        <w:t xml:space="preserve"> </w:t>
      </w:r>
      <w:r w:rsidR="00740AF6" w:rsidRPr="00336961">
        <w:rPr>
          <w:rFonts w:ascii="Times New Roman" w:hAnsi="Times New Roman"/>
          <w:sz w:val="24"/>
        </w:rPr>
        <w:t xml:space="preserve">Last, Colorado GEAR UP program students, many of whom are literate in languages </w:t>
      </w:r>
      <w:r w:rsidR="00C54F58" w:rsidRPr="00336961">
        <w:rPr>
          <w:rFonts w:ascii="Times New Roman" w:hAnsi="Times New Roman"/>
          <w:sz w:val="24"/>
        </w:rPr>
        <w:t>other than</w:t>
      </w:r>
      <w:r w:rsidR="00740AF6" w:rsidRPr="00336961">
        <w:rPr>
          <w:rFonts w:ascii="Times New Roman" w:hAnsi="Times New Roman"/>
          <w:sz w:val="24"/>
        </w:rPr>
        <w:t xml:space="preserve"> English, are not benefitting from PLA to the extent they should. In fall 2014, 178 students in 12 high schools were given CLEP exams in Spanish and/or French. In total, 168 students (94%) earned scores that </w:t>
      </w:r>
      <w:r w:rsidR="00C54F58" w:rsidRPr="00336961">
        <w:rPr>
          <w:rFonts w:ascii="Times New Roman" w:hAnsi="Times New Roman"/>
          <w:sz w:val="24"/>
        </w:rPr>
        <w:t>should</w:t>
      </w:r>
      <w:r w:rsidR="00740AF6" w:rsidRPr="00336961">
        <w:rPr>
          <w:rFonts w:ascii="Times New Roman" w:hAnsi="Times New Roman"/>
          <w:sz w:val="24"/>
        </w:rPr>
        <w:t xml:space="preserve"> enable them to receive college credit of at least 3 credit hours. Several Colorado public higher education institutions</w:t>
      </w:r>
      <w:r w:rsidR="00C54F58" w:rsidRPr="00336961">
        <w:rPr>
          <w:rFonts w:ascii="Times New Roman" w:hAnsi="Times New Roman"/>
          <w:sz w:val="24"/>
        </w:rPr>
        <w:t>, however,</w:t>
      </w:r>
      <w:r w:rsidR="00740AF6" w:rsidRPr="00336961">
        <w:rPr>
          <w:rFonts w:ascii="Times New Roman" w:hAnsi="Times New Roman"/>
          <w:sz w:val="24"/>
        </w:rPr>
        <w:t xml:space="preserve"> do not </w:t>
      </w:r>
      <w:r w:rsidR="00E45754" w:rsidRPr="00336961">
        <w:rPr>
          <w:rFonts w:ascii="Times New Roman" w:hAnsi="Times New Roman"/>
          <w:sz w:val="24"/>
        </w:rPr>
        <w:t xml:space="preserve">apply to degree requirements the </w:t>
      </w:r>
      <w:r w:rsidR="00740AF6" w:rsidRPr="00336961">
        <w:rPr>
          <w:rFonts w:ascii="Times New Roman" w:hAnsi="Times New Roman"/>
          <w:sz w:val="24"/>
        </w:rPr>
        <w:t>credit</w:t>
      </w:r>
      <w:r w:rsidR="00E45754" w:rsidRPr="00336961">
        <w:rPr>
          <w:rFonts w:ascii="Times New Roman" w:hAnsi="Times New Roman"/>
          <w:sz w:val="24"/>
        </w:rPr>
        <w:t xml:space="preserve"> earned</w:t>
      </w:r>
      <w:r w:rsidR="00740AF6" w:rsidRPr="00336961">
        <w:rPr>
          <w:rFonts w:ascii="Times New Roman" w:hAnsi="Times New Roman"/>
          <w:sz w:val="24"/>
        </w:rPr>
        <w:t xml:space="preserve"> for </w:t>
      </w:r>
      <w:r w:rsidR="00E45754" w:rsidRPr="00336961">
        <w:rPr>
          <w:rFonts w:ascii="Times New Roman" w:hAnsi="Times New Roman"/>
          <w:sz w:val="24"/>
        </w:rPr>
        <w:t xml:space="preserve">an ACE recommended passing score on </w:t>
      </w:r>
      <w:r w:rsidR="00740AF6" w:rsidRPr="00336961">
        <w:rPr>
          <w:rFonts w:ascii="Times New Roman" w:hAnsi="Times New Roman"/>
          <w:sz w:val="24"/>
        </w:rPr>
        <w:t>the CLEP World Languages exams: Adams State University, Colorado School of Mines, University of Colorado Boulder, and University of Colorado Denver. The result is that Colorado GEAR-UP students who have tested high enough</w:t>
      </w:r>
      <w:r w:rsidR="00E45754" w:rsidRPr="00336961">
        <w:rPr>
          <w:rFonts w:ascii="Times New Roman" w:hAnsi="Times New Roman"/>
          <w:sz w:val="24"/>
        </w:rPr>
        <w:t xml:space="preserve"> (according to the published ACE recommended cut scores)</w:t>
      </w:r>
      <w:r w:rsidR="00740AF6" w:rsidRPr="00336961">
        <w:rPr>
          <w:rFonts w:ascii="Times New Roman" w:hAnsi="Times New Roman"/>
          <w:sz w:val="24"/>
        </w:rPr>
        <w:t xml:space="preserve"> to earn between 3 and 12 credits would </w:t>
      </w:r>
      <w:r w:rsidR="00E45754" w:rsidRPr="00336961">
        <w:rPr>
          <w:rFonts w:ascii="Times New Roman" w:hAnsi="Times New Roman"/>
          <w:sz w:val="24"/>
        </w:rPr>
        <w:t>not have those credits apply to degree requirements, though they may fulfill admissions and world language proficiency requirements.</w:t>
      </w:r>
      <w:r w:rsidR="00336961">
        <w:rPr>
          <w:rFonts w:ascii="Times New Roman" w:hAnsi="Times New Roman"/>
          <w:sz w:val="24"/>
        </w:rPr>
        <w:t xml:space="preserve"> </w:t>
      </w:r>
      <w:r w:rsidR="00C54F58" w:rsidRPr="00336961">
        <w:rPr>
          <w:rFonts w:ascii="Times New Roman" w:hAnsi="Times New Roman"/>
          <w:sz w:val="24"/>
        </w:rPr>
        <w:t xml:space="preserve">The program will test up to 100 more students during spring 2015. Colorado GEAR UP serves first generation, low-income students, many of whom are underrepresented minorities. As has been observed by Colorado GEAR UP staff, and confirmed in research by Klein-Collins and Olson (2014), helping </w:t>
      </w:r>
      <w:r w:rsidR="00C54F58" w:rsidRPr="00336961">
        <w:rPr>
          <w:rFonts w:ascii="Times New Roman" w:hAnsi="Times New Roman"/>
          <w:sz w:val="24"/>
        </w:rPr>
        <w:lastRenderedPageBreak/>
        <w:t>these students achieve college credit</w:t>
      </w:r>
      <w:r w:rsidR="00E45754" w:rsidRPr="00336961">
        <w:rPr>
          <w:rFonts w:ascii="Times New Roman" w:hAnsi="Times New Roman"/>
          <w:sz w:val="24"/>
        </w:rPr>
        <w:t>, and have it applied to degree requirements where appropriate,</w:t>
      </w:r>
      <w:r w:rsidR="00C54F58" w:rsidRPr="00336961">
        <w:rPr>
          <w:rFonts w:ascii="Times New Roman" w:hAnsi="Times New Roman"/>
          <w:sz w:val="24"/>
        </w:rPr>
        <w:t xml:space="preserve"> for knowledge they already have </w:t>
      </w:r>
      <w:proofErr w:type="spellStart"/>
      <w:r w:rsidR="00C54F58" w:rsidRPr="00336961">
        <w:rPr>
          <w:rFonts w:ascii="Times New Roman" w:hAnsi="Times New Roman"/>
          <w:sz w:val="24"/>
        </w:rPr>
        <w:t>gives</w:t>
      </w:r>
      <w:proofErr w:type="spellEnd"/>
      <w:r w:rsidR="00C54F58" w:rsidRPr="00336961">
        <w:rPr>
          <w:rFonts w:ascii="Times New Roman" w:hAnsi="Times New Roman"/>
          <w:sz w:val="24"/>
        </w:rPr>
        <w:t xml:space="preserve"> them confidence to succeed and saves them time and money toward degree completion.</w:t>
      </w:r>
    </w:p>
    <w:p w:rsidR="00961E23" w:rsidRDefault="00961E23" w:rsidP="001C64F3">
      <w:pPr>
        <w:jc w:val="both"/>
        <w:outlineLvl w:val="0"/>
        <w:rPr>
          <w:i/>
          <w:sz w:val="24"/>
        </w:rPr>
      </w:pPr>
    </w:p>
    <w:p w:rsidR="00647983" w:rsidRDefault="00993EC1" w:rsidP="001C64F3">
      <w:pPr>
        <w:jc w:val="both"/>
        <w:outlineLvl w:val="0"/>
        <w:rPr>
          <w:i/>
          <w:sz w:val="24"/>
        </w:rPr>
      </w:pPr>
      <w:r>
        <w:rPr>
          <w:i/>
          <w:sz w:val="24"/>
        </w:rPr>
        <w:t>Considerations</w:t>
      </w:r>
      <w:r w:rsidR="002A5701">
        <w:rPr>
          <w:i/>
          <w:sz w:val="24"/>
        </w:rPr>
        <w:t xml:space="preserve"> for Colorado</w:t>
      </w:r>
    </w:p>
    <w:p w:rsidR="00647983" w:rsidRPr="00647983" w:rsidRDefault="00647983" w:rsidP="001C64F3">
      <w:pPr>
        <w:jc w:val="both"/>
        <w:outlineLvl w:val="0"/>
        <w:rPr>
          <w:i/>
          <w:sz w:val="24"/>
        </w:rPr>
      </w:pPr>
    </w:p>
    <w:p w:rsidR="00E1494C" w:rsidRDefault="00E1494C" w:rsidP="00E1494C">
      <w:pPr>
        <w:jc w:val="both"/>
        <w:outlineLvl w:val="0"/>
        <w:rPr>
          <w:sz w:val="24"/>
        </w:rPr>
      </w:pPr>
      <w:r>
        <w:rPr>
          <w:sz w:val="24"/>
        </w:rPr>
        <w:t xml:space="preserve">A comprehensive, statewide policy on Prior Learning Assessment (PLA) would either eliminate or significantly reduce these barriers to </w:t>
      </w:r>
      <w:r w:rsidR="00CA095A">
        <w:rPr>
          <w:sz w:val="24"/>
        </w:rPr>
        <w:t>receiving</w:t>
      </w:r>
      <w:r>
        <w:rPr>
          <w:sz w:val="24"/>
        </w:rPr>
        <w:t xml:space="preserve"> credit for demonstrable learning, successful transfer and application of credit, and degree completion.</w:t>
      </w:r>
      <w:r w:rsidR="002A5701">
        <w:rPr>
          <w:sz w:val="24"/>
        </w:rPr>
        <w:t xml:space="preserve"> Such a policy would seem to be the nex</w:t>
      </w:r>
      <w:r>
        <w:rPr>
          <w:sz w:val="24"/>
        </w:rPr>
        <w:t>t logical step in augmenting Colorado’s</w:t>
      </w:r>
      <w:r w:rsidR="002A5701">
        <w:rPr>
          <w:sz w:val="24"/>
        </w:rPr>
        <w:t xml:space="preserve"> guaranteed transfer </w:t>
      </w:r>
      <w:r>
        <w:rPr>
          <w:sz w:val="24"/>
        </w:rPr>
        <w:t>(</w:t>
      </w:r>
      <w:proofErr w:type="spellStart"/>
      <w:r>
        <w:rPr>
          <w:sz w:val="24"/>
        </w:rPr>
        <w:t>gt</w:t>
      </w:r>
      <w:proofErr w:type="spellEnd"/>
      <w:proofErr w:type="gramStart"/>
      <w:r>
        <w:rPr>
          <w:sz w:val="24"/>
        </w:rPr>
        <w:t>)</w:t>
      </w:r>
      <w:r w:rsidR="009D64ED">
        <w:rPr>
          <w:sz w:val="24"/>
        </w:rPr>
        <w:t>p</w:t>
      </w:r>
      <w:r w:rsidR="002A5701">
        <w:rPr>
          <w:sz w:val="24"/>
        </w:rPr>
        <w:t>athways</w:t>
      </w:r>
      <w:proofErr w:type="gramEnd"/>
      <w:r w:rsidR="002A5701">
        <w:rPr>
          <w:sz w:val="24"/>
        </w:rPr>
        <w:t xml:space="preserve"> curriculum and statewide transfer articulation agreements. </w:t>
      </w:r>
      <w:r w:rsidR="00B23798">
        <w:rPr>
          <w:sz w:val="24"/>
        </w:rPr>
        <w:t xml:space="preserve"> </w:t>
      </w:r>
      <w:r>
        <w:rPr>
          <w:sz w:val="24"/>
        </w:rPr>
        <w:t xml:space="preserve">Other states have </w:t>
      </w:r>
      <w:r w:rsidR="00EA1D4C">
        <w:rPr>
          <w:sz w:val="24"/>
        </w:rPr>
        <w:t xml:space="preserve">expanded PLA offerings at their institutions and have </w:t>
      </w:r>
      <w:r>
        <w:rPr>
          <w:sz w:val="24"/>
        </w:rPr>
        <w:t xml:space="preserve">adopted statewide cut scores </w:t>
      </w:r>
      <w:r w:rsidR="00EA1D4C">
        <w:rPr>
          <w:sz w:val="24"/>
        </w:rPr>
        <w:t xml:space="preserve">for standardized exams, the effect of </w:t>
      </w:r>
      <w:r w:rsidR="009D64ED">
        <w:rPr>
          <w:sz w:val="24"/>
        </w:rPr>
        <w:t>which</w:t>
      </w:r>
      <w:r w:rsidR="00EA1D4C">
        <w:rPr>
          <w:sz w:val="24"/>
        </w:rPr>
        <w:t xml:space="preserve"> is to</w:t>
      </w:r>
      <w:r>
        <w:rPr>
          <w:sz w:val="24"/>
        </w:rPr>
        <w:t xml:space="preserve"> truly guar</w:t>
      </w:r>
      <w:r w:rsidR="00EA1D4C">
        <w:rPr>
          <w:sz w:val="24"/>
        </w:rPr>
        <w:t>antee</w:t>
      </w:r>
      <w:r>
        <w:rPr>
          <w:sz w:val="24"/>
        </w:rPr>
        <w:t xml:space="preserve"> the transfer and application of credit. </w:t>
      </w:r>
      <w:r w:rsidR="00B23798" w:rsidRPr="00B23798">
        <w:rPr>
          <w:sz w:val="24"/>
        </w:rPr>
        <w:t>Appendix B: Other States’ PLA Policies &amp; Cut Scores</w:t>
      </w:r>
      <w:r w:rsidR="00B23798">
        <w:rPr>
          <w:sz w:val="24"/>
        </w:rPr>
        <w:t xml:space="preserve"> </w:t>
      </w:r>
      <w:r w:rsidR="00346CB6">
        <w:rPr>
          <w:sz w:val="24"/>
        </w:rPr>
        <w:t>show how o</w:t>
      </w:r>
      <w:r w:rsidR="002A5701">
        <w:rPr>
          <w:sz w:val="24"/>
        </w:rPr>
        <w:t xml:space="preserve">ther states are leading the way and setting examples so there is no need for Colorado to “reinvent the wheel.” </w:t>
      </w:r>
      <w:r w:rsidR="00676828">
        <w:rPr>
          <w:sz w:val="24"/>
        </w:rPr>
        <w:t>For example, t</w:t>
      </w:r>
      <w:r w:rsidR="002A5701" w:rsidRPr="006B3B95">
        <w:rPr>
          <w:sz w:val="24"/>
        </w:rPr>
        <w:t>he following states accept a 3 on every AP exam:  Florida, Indiana, Kentucky, Min</w:t>
      </w:r>
      <w:r w:rsidR="00583759">
        <w:rPr>
          <w:sz w:val="24"/>
        </w:rPr>
        <w:t xml:space="preserve">nesota, North Dakota, Ohio </w:t>
      </w:r>
      <w:r w:rsidR="005A18D7">
        <w:rPr>
          <w:sz w:val="24"/>
        </w:rPr>
        <w:t>and Wisconsin</w:t>
      </w:r>
      <w:r w:rsidR="002A5701" w:rsidRPr="006B3B95">
        <w:rPr>
          <w:sz w:val="24"/>
        </w:rPr>
        <w:t xml:space="preserve"> (as well as California State University System). The following accept a 3 on almost every AP exam but require at least a 4 on some, usually in science, math &amp; World Languages: Oregon, </w:t>
      </w:r>
      <w:r w:rsidR="00583759" w:rsidRPr="006B3B95">
        <w:rPr>
          <w:sz w:val="24"/>
        </w:rPr>
        <w:t>South Carolina</w:t>
      </w:r>
      <w:r w:rsidR="00583759">
        <w:rPr>
          <w:sz w:val="24"/>
        </w:rPr>
        <w:t xml:space="preserve">, </w:t>
      </w:r>
      <w:r w:rsidR="002A5701" w:rsidRPr="006B3B95">
        <w:rPr>
          <w:sz w:val="24"/>
        </w:rPr>
        <w:t>South Dakota and West Virginia. All these states also set 4 as the minimum on most IB exams</w:t>
      </w:r>
      <w:r w:rsidR="00B23798">
        <w:rPr>
          <w:sz w:val="24"/>
        </w:rPr>
        <w:t xml:space="preserve"> and </w:t>
      </w:r>
      <w:r w:rsidR="00B23798" w:rsidRPr="006B3B95">
        <w:rPr>
          <w:sz w:val="24"/>
        </w:rPr>
        <w:t xml:space="preserve">50 </w:t>
      </w:r>
      <w:r w:rsidR="00B23798">
        <w:rPr>
          <w:sz w:val="24"/>
        </w:rPr>
        <w:t>for most CLEP exams</w:t>
      </w:r>
      <w:r w:rsidR="002A5701" w:rsidRPr="006B3B95">
        <w:rPr>
          <w:sz w:val="24"/>
        </w:rPr>
        <w:t>.</w:t>
      </w:r>
      <w:r w:rsidR="002A5701">
        <w:rPr>
          <w:sz w:val="24"/>
        </w:rPr>
        <w:t xml:space="preserve"> </w:t>
      </w:r>
      <w:proofErr w:type="gramStart"/>
      <w:r>
        <w:rPr>
          <w:sz w:val="24"/>
        </w:rPr>
        <w:t>Though not in place long enough to have many years of longitudinal data, the available research from some of these states indicates that students who earn PLA credit are adequately prepared for subsequent coursework.</w:t>
      </w:r>
      <w:proofErr w:type="gramEnd"/>
      <w:r>
        <w:rPr>
          <w:sz w:val="24"/>
        </w:rPr>
        <w:t xml:space="preserve"> </w:t>
      </w:r>
    </w:p>
    <w:p w:rsidR="002A5701" w:rsidRPr="006B3B95" w:rsidRDefault="002A5701" w:rsidP="00B23798">
      <w:pPr>
        <w:jc w:val="both"/>
        <w:rPr>
          <w:sz w:val="24"/>
        </w:rPr>
      </w:pPr>
    </w:p>
    <w:p w:rsidR="006E09E9" w:rsidRPr="002A0220" w:rsidRDefault="006E09E9" w:rsidP="003774DD">
      <w:pPr>
        <w:widowControl w:val="0"/>
        <w:numPr>
          <w:ilvl w:val="0"/>
          <w:numId w:val="2"/>
        </w:numPr>
        <w:jc w:val="both"/>
        <w:rPr>
          <w:sz w:val="24"/>
          <w:u w:val="single"/>
        </w:rPr>
      </w:pPr>
      <w:r w:rsidRPr="002A0220">
        <w:rPr>
          <w:b/>
          <w:sz w:val="24"/>
          <w:u w:val="single"/>
        </w:rPr>
        <w:t>STAFF ANALYSIS</w:t>
      </w:r>
      <w:r w:rsidRPr="002A0220">
        <w:rPr>
          <w:sz w:val="24"/>
          <w:u w:val="single"/>
        </w:rPr>
        <w:t xml:space="preserve"> </w:t>
      </w:r>
    </w:p>
    <w:p w:rsidR="002A0220" w:rsidRDefault="002A0220" w:rsidP="006E09E9">
      <w:pPr>
        <w:jc w:val="both"/>
        <w:outlineLvl w:val="0"/>
        <w:rPr>
          <w:sz w:val="24"/>
        </w:rPr>
      </w:pPr>
    </w:p>
    <w:p w:rsidR="00E1494C" w:rsidRDefault="00CA095A" w:rsidP="00E1494C">
      <w:pPr>
        <w:autoSpaceDE w:val="0"/>
        <w:autoSpaceDN w:val="0"/>
        <w:adjustRightInd w:val="0"/>
        <w:spacing w:line="241" w:lineRule="atLeast"/>
        <w:jc w:val="both"/>
        <w:rPr>
          <w:sz w:val="24"/>
        </w:rPr>
      </w:pPr>
      <w:r>
        <w:rPr>
          <w:sz w:val="24"/>
        </w:rPr>
        <w:t xml:space="preserve">Students and </w:t>
      </w:r>
      <w:r w:rsidR="00E1494C" w:rsidRPr="00F00657">
        <w:rPr>
          <w:sz w:val="24"/>
        </w:rPr>
        <w:t xml:space="preserve">institutions </w:t>
      </w:r>
      <w:r w:rsidR="00C02661">
        <w:rPr>
          <w:sz w:val="24"/>
        </w:rPr>
        <w:t>would benefit from</w:t>
      </w:r>
      <w:r w:rsidR="00E1494C" w:rsidRPr="00F00657">
        <w:rPr>
          <w:sz w:val="24"/>
        </w:rPr>
        <w:t xml:space="preserve"> such a policy, not just because it will serve students, but because it can also boost the institutions’ performance. The Lumina Foundation (2014) reports, </w:t>
      </w:r>
      <w:r w:rsidR="00E1494C" w:rsidRPr="00F00657">
        <w:rPr>
          <w:rStyle w:val="A1"/>
          <w:rFonts w:cs="Times New Roman"/>
          <w:color w:val="auto"/>
          <w:sz w:val="24"/>
          <w:szCs w:val="24"/>
        </w:rPr>
        <w:t xml:space="preserve">“As innovative approaches are developed — approaches that focus on the student and learning, not on institutions and seat time — new, sustainable financial models are needed as well to assure education systems can meet demand” (pg. 4). </w:t>
      </w:r>
      <w:r w:rsidR="00E1494C" w:rsidRPr="00F00657">
        <w:rPr>
          <w:sz w:val="24"/>
        </w:rPr>
        <w:t>One financial incentive for Colorado’s public institutions of higher education to award PLA credit is the new performance funding model (HB 14-1319) of which one measure is, “Allocates funding to institutions based upon completed courses as measured by completed student credit hours.” If institutions awarded PLA credit where due, then students would accumulate more credit and boost the institution’s performance.</w:t>
      </w:r>
    </w:p>
    <w:p w:rsidR="00E1494C" w:rsidRDefault="00E1494C" w:rsidP="006E09E9">
      <w:pPr>
        <w:jc w:val="both"/>
        <w:outlineLvl w:val="0"/>
        <w:rPr>
          <w:sz w:val="24"/>
        </w:rPr>
      </w:pPr>
    </w:p>
    <w:p w:rsidR="001838A9" w:rsidRDefault="001838A9" w:rsidP="006E09E9">
      <w:pPr>
        <w:jc w:val="both"/>
        <w:outlineLvl w:val="0"/>
        <w:rPr>
          <w:sz w:val="24"/>
        </w:rPr>
      </w:pPr>
      <w:r>
        <w:rPr>
          <w:sz w:val="24"/>
        </w:rPr>
        <w:t xml:space="preserve">Based on the research reported here, as well as the data from other states that have set </w:t>
      </w:r>
      <w:r w:rsidR="00280F62">
        <w:rPr>
          <w:sz w:val="24"/>
        </w:rPr>
        <w:t>common</w:t>
      </w:r>
      <w:r>
        <w:rPr>
          <w:sz w:val="24"/>
        </w:rPr>
        <w:t xml:space="preserve"> cut scores, Department staff concludes that it would benefit the students of Colorado to set statewide cut score</w:t>
      </w:r>
      <w:r w:rsidR="00F00657">
        <w:rPr>
          <w:sz w:val="24"/>
        </w:rPr>
        <w:t>s</w:t>
      </w:r>
      <w:r>
        <w:rPr>
          <w:sz w:val="24"/>
        </w:rPr>
        <w:t xml:space="preserve"> on PLA exams, like </w:t>
      </w:r>
      <w:r w:rsidR="00F00657">
        <w:rPr>
          <w:sz w:val="24"/>
        </w:rPr>
        <w:t xml:space="preserve">AP, </w:t>
      </w:r>
      <w:r>
        <w:rPr>
          <w:sz w:val="24"/>
        </w:rPr>
        <w:t>IB and CLEP</w:t>
      </w:r>
      <w:r w:rsidR="00704D23">
        <w:rPr>
          <w:sz w:val="24"/>
        </w:rPr>
        <w:t xml:space="preserve"> and for institutions to publish how credits earned through PLA will be applied</w:t>
      </w:r>
      <w:r w:rsidR="00F00657">
        <w:rPr>
          <w:sz w:val="24"/>
        </w:rPr>
        <w:t>. S</w:t>
      </w:r>
      <w:r>
        <w:rPr>
          <w:sz w:val="24"/>
        </w:rPr>
        <w:t xml:space="preserve">taff </w:t>
      </w:r>
      <w:r w:rsidR="00F00657">
        <w:rPr>
          <w:sz w:val="24"/>
        </w:rPr>
        <w:t xml:space="preserve">also </w:t>
      </w:r>
      <w:r>
        <w:rPr>
          <w:sz w:val="24"/>
        </w:rPr>
        <w:t>recommend</w:t>
      </w:r>
      <w:r w:rsidR="006D48D7">
        <w:rPr>
          <w:sz w:val="24"/>
        </w:rPr>
        <w:t>s</w:t>
      </w:r>
      <w:r>
        <w:rPr>
          <w:sz w:val="24"/>
        </w:rPr>
        <w:t xml:space="preserve"> </w:t>
      </w:r>
      <w:r w:rsidR="00676828">
        <w:rPr>
          <w:sz w:val="24"/>
        </w:rPr>
        <w:t>requirements</w:t>
      </w:r>
      <w:r>
        <w:rPr>
          <w:sz w:val="24"/>
        </w:rPr>
        <w:t xml:space="preserve"> to ensure the application of PLA credits awarded</w:t>
      </w:r>
      <w:r w:rsidR="00676828">
        <w:rPr>
          <w:sz w:val="24"/>
        </w:rPr>
        <w:t xml:space="preserve"> at one institution are accepted in transfer and applied appropriately to degree requirements at receiving institutions.</w:t>
      </w:r>
    </w:p>
    <w:p w:rsidR="001838A9" w:rsidRDefault="001838A9" w:rsidP="006E09E9">
      <w:pPr>
        <w:jc w:val="both"/>
        <w:outlineLvl w:val="0"/>
        <w:rPr>
          <w:sz w:val="24"/>
        </w:rPr>
      </w:pPr>
    </w:p>
    <w:p w:rsidR="002205F6" w:rsidRDefault="002205F6" w:rsidP="00E20392">
      <w:pPr>
        <w:jc w:val="both"/>
        <w:outlineLvl w:val="0"/>
        <w:rPr>
          <w:b/>
          <w:sz w:val="24"/>
        </w:rPr>
      </w:pPr>
    </w:p>
    <w:p w:rsidR="007E2147" w:rsidRDefault="007E2147" w:rsidP="00E20392">
      <w:pPr>
        <w:jc w:val="both"/>
        <w:outlineLvl w:val="0"/>
        <w:rPr>
          <w:b/>
          <w:sz w:val="24"/>
        </w:rPr>
      </w:pPr>
    </w:p>
    <w:p w:rsidR="007E2147" w:rsidRDefault="007E2147" w:rsidP="00E20392">
      <w:pPr>
        <w:jc w:val="both"/>
        <w:outlineLvl w:val="0"/>
        <w:rPr>
          <w:b/>
          <w:sz w:val="24"/>
        </w:rPr>
      </w:pPr>
    </w:p>
    <w:p w:rsidR="007E2147" w:rsidRDefault="007E2147" w:rsidP="00E20392">
      <w:pPr>
        <w:jc w:val="both"/>
        <w:outlineLvl w:val="0"/>
        <w:rPr>
          <w:b/>
          <w:sz w:val="24"/>
        </w:rPr>
      </w:pPr>
    </w:p>
    <w:p w:rsidR="00E20392" w:rsidRPr="006627D2" w:rsidRDefault="00E20392" w:rsidP="00E20392">
      <w:pPr>
        <w:jc w:val="both"/>
        <w:outlineLvl w:val="0"/>
        <w:rPr>
          <w:b/>
          <w:sz w:val="24"/>
        </w:rPr>
      </w:pPr>
      <w:r w:rsidRPr="006627D2">
        <w:rPr>
          <w:b/>
          <w:sz w:val="24"/>
        </w:rPr>
        <w:lastRenderedPageBreak/>
        <w:t>Expected</w:t>
      </w:r>
      <w:r w:rsidR="00C02661">
        <w:rPr>
          <w:b/>
          <w:sz w:val="24"/>
        </w:rPr>
        <w:t xml:space="preserve"> Challenges</w:t>
      </w:r>
    </w:p>
    <w:p w:rsidR="00E20392" w:rsidRDefault="00E20392" w:rsidP="00E20392">
      <w:pPr>
        <w:jc w:val="both"/>
        <w:outlineLvl w:val="0"/>
        <w:rPr>
          <w:b/>
          <w:sz w:val="24"/>
          <w:u w:val="single"/>
        </w:rPr>
      </w:pPr>
    </w:p>
    <w:p w:rsidR="00E20392" w:rsidRDefault="00E20392" w:rsidP="00E20392">
      <w:pPr>
        <w:jc w:val="both"/>
        <w:outlineLvl w:val="0"/>
        <w:rPr>
          <w:sz w:val="24"/>
        </w:rPr>
      </w:pPr>
      <w:r>
        <w:rPr>
          <w:sz w:val="24"/>
        </w:rPr>
        <w:t xml:space="preserve">As Regier (2014) and </w:t>
      </w:r>
      <w:r w:rsidR="001347D9">
        <w:rPr>
          <w:sz w:val="24"/>
        </w:rPr>
        <w:t>Lakin et al. (2015)</w:t>
      </w:r>
      <w:r>
        <w:rPr>
          <w:sz w:val="24"/>
        </w:rPr>
        <w:t xml:space="preserve"> have found, </w:t>
      </w:r>
      <w:r w:rsidR="005F71C9">
        <w:rPr>
          <w:sz w:val="24"/>
        </w:rPr>
        <w:t xml:space="preserve">there will likely be concerns </w:t>
      </w:r>
      <w:r>
        <w:rPr>
          <w:sz w:val="24"/>
        </w:rPr>
        <w:t xml:space="preserve">from faculty that credit earned through PLA does not provide equivalent preparation (in content, skills and rigor) as the same course taught on campus. </w:t>
      </w:r>
      <w:r w:rsidR="003E0CEB">
        <w:rPr>
          <w:sz w:val="24"/>
        </w:rPr>
        <w:t>During the original vetting of this</w:t>
      </w:r>
      <w:r w:rsidR="005F71C9">
        <w:rPr>
          <w:sz w:val="24"/>
        </w:rPr>
        <w:t xml:space="preserve"> idea, discussions with </w:t>
      </w:r>
      <w:r w:rsidR="003E0CEB">
        <w:rPr>
          <w:sz w:val="24"/>
        </w:rPr>
        <w:t>stakeholder groups focused almost entirely on the issue of common cut scores and concerns that some institutions will have to lower the score they require. Department staff believe</w:t>
      </w:r>
      <w:r w:rsidR="00421D02">
        <w:rPr>
          <w:sz w:val="24"/>
        </w:rPr>
        <w:t>s</w:t>
      </w:r>
      <w:r w:rsidR="003E0CEB">
        <w:rPr>
          <w:sz w:val="24"/>
        </w:rPr>
        <w:t xml:space="preserve"> the recommended course of action for creating this policy, which will be inclusive and deliberative, will provide faculty with ample opportunities for input. Also, Department staff will provide faculty and others with t</w:t>
      </w:r>
      <w:r w:rsidR="005F71C9">
        <w:rPr>
          <w:sz w:val="24"/>
        </w:rPr>
        <w:t xml:space="preserve">he research </w:t>
      </w:r>
      <w:r w:rsidR="003E0CEB">
        <w:rPr>
          <w:sz w:val="24"/>
        </w:rPr>
        <w:t>referenced in this agenda item, which provides data on common cut scores and how students pe</w:t>
      </w:r>
      <w:r w:rsidR="001B4978">
        <w:rPr>
          <w:sz w:val="24"/>
        </w:rPr>
        <w:t>rform in subsequent coursework, as well as how other institutions have accomplished effective PLA practices (Lakin et al., 2015).</w:t>
      </w:r>
      <w:r w:rsidR="005D298A">
        <w:rPr>
          <w:sz w:val="24"/>
        </w:rPr>
        <w:t xml:space="preserve"> </w:t>
      </w:r>
      <w:r>
        <w:rPr>
          <w:sz w:val="24"/>
        </w:rPr>
        <w:t xml:space="preserve">Another </w:t>
      </w:r>
      <w:r w:rsidR="00C02661">
        <w:rPr>
          <w:sz w:val="24"/>
        </w:rPr>
        <w:t>concern</w:t>
      </w:r>
      <w:r>
        <w:rPr>
          <w:sz w:val="24"/>
        </w:rPr>
        <w:t xml:space="preserve"> from faculty </w:t>
      </w:r>
      <w:r w:rsidR="00C02661">
        <w:rPr>
          <w:sz w:val="24"/>
        </w:rPr>
        <w:t>may</w:t>
      </w:r>
      <w:r>
        <w:rPr>
          <w:sz w:val="24"/>
        </w:rPr>
        <w:t xml:space="preserve"> be that their program accreditors do not allow them to award PLA credit or accept it in transfer. </w:t>
      </w:r>
      <w:r w:rsidR="00C54F58">
        <w:rPr>
          <w:sz w:val="24"/>
        </w:rPr>
        <w:t>Because of this concern, d</w:t>
      </w:r>
      <w:r w:rsidR="00C02661">
        <w:rPr>
          <w:sz w:val="24"/>
        </w:rPr>
        <w:t>epartment staff contacted accreditors to seek</w:t>
      </w:r>
      <w:r>
        <w:rPr>
          <w:sz w:val="24"/>
        </w:rPr>
        <w:t xml:space="preserve"> correct information on program accreditation</w:t>
      </w:r>
      <w:r w:rsidR="00C02661">
        <w:rPr>
          <w:sz w:val="24"/>
        </w:rPr>
        <w:t xml:space="preserve"> requirements</w:t>
      </w:r>
      <w:r>
        <w:rPr>
          <w:sz w:val="24"/>
        </w:rPr>
        <w:t xml:space="preserve">. </w:t>
      </w:r>
    </w:p>
    <w:p w:rsidR="00E20392" w:rsidRDefault="00E20392" w:rsidP="00667BA6">
      <w:pPr>
        <w:pStyle w:val="NoSpacing"/>
        <w:jc w:val="both"/>
        <w:rPr>
          <w:sz w:val="24"/>
        </w:rPr>
      </w:pPr>
    </w:p>
    <w:p w:rsidR="00222282" w:rsidRPr="00222282" w:rsidRDefault="00E20392" w:rsidP="00667BA6">
      <w:pPr>
        <w:pStyle w:val="Default"/>
        <w:jc w:val="both"/>
        <w:rPr>
          <w:color w:val="FF0000"/>
        </w:rPr>
      </w:pPr>
      <w:r>
        <w:t xml:space="preserve">The Higher Learning Commission (HLC), the regional accreditor for Colorado’s institutions of higher education, </w:t>
      </w:r>
      <w:r w:rsidR="00127558">
        <w:t>allows institutions</w:t>
      </w:r>
      <w:r w:rsidR="00144E0B">
        <w:t xml:space="preserve"> to award and </w:t>
      </w:r>
      <w:r>
        <w:t>accept in transfer, credit ear</w:t>
      </w:r>
      <w:r w:rsidR="00144E0B">
        <w:t>ned through online coursework and</w:t>
      </w:r>
      <w:r>
        <w:t xml:space="preserve"> prior learning assessment, </w:t>
      </w:r>
      <w:r w:rsidR="00127558">
        <w:t>as long as the institution has</w:t>
      </w:r>
      <w:r>
        <w:t xml:space="preserve"> in place a system for ensuring quality</w:t>
      </w:r>
      <w:r w:rsidR="00127558">
        <w:t xml:space="preserve"> and consistency</w:t>
      </w:r>
      <w:r>
        <w:t xml:space="preserve"> in the </w:t>
      </w:r>
      <w:r w:rsidR="00127558">
        <w:t xml:space="preserve">evaluation and </w:t>
      </w:r>
      <w:r>
        <w:t>awarding of such credit</w:t>
      </w:r>
      <w:r w:rsidR="00127558">
        <w:t xml:space="preserve">. </w:t>
      </w:r>
      <w:r w:rsidR="00642858">
        <w:t>According to a representative at HLC</w:t>
      </w:r>
      <w:r w:rsidR="00CA6604">
        <w:t xml:space="preserve"> (personal communication), and a research brief from CAEL (2014)</w:t>
      </w:r>
      <w:r w:rsidR="00642858">
        <w:t>, t</w:t>
      </w:r>
      <w:r w:rsidR="00127558" w:rsidRPr="00127558">
        <w:t xml:space="preserve">he only </w:t>
      </w:r>
      <w:r w:rsidR="00BA14EA">
        <w:t>requirement</w:t>
      </w:r>
      <w:r w:rsidR="00127558" w:rsidRPr="00127558">
        <w:t xml:space="preserve"> is HLC’s “Assumed Practice B.1: Programs, Courses, and Credits: g: The institution has a clear policy on the maximum allowable credit for prior learning as a reasonable proportion of the credits required to complete the student’s program.”</w:t>
      </w:r>
      <w:r w:rsidR="00CA6604">
        <w:t xml:space="preserve"> </w:t>
      </w:r>
      <w:r w:rsidR="00642858">
        <w:t xml:space="preserve"> </w:t>
      </w:r>
    </w:p>
    <w:p w:rsidR="005B3025" w:rsidRDefault="005B3025" w:rsidP="00B23798">
      <w:pPr>
        <w:pStyle w:val="NoSpacing"/>
        <w:jc w:val="both"/>
        <w:rPr>
          <w:sz w:val="24"/>
        </w:rPr>
      </w:pPr>
    </w:p>
    <w:p w:rsidR="00E20392" w:rsidRDefault="006B01F8" w:rsidP="00B23798">
      <w:pPr>
        <w:pStyle w:val="NoSpacing"/>
        <w:jc w:val="both"/>
        <w:rPr>
          <w:sz w:val="24"/>
        </w:rPr>
      </w:pPr>
      <w:r>
        <w:rPr>
          <w:sz w:val="24"/>
        </w:rPr>
        <w:t xml:space="preserve">Besides HLC, as the </w:t>
      </w:r>
      <w:r w:rsidRPr="00BA14EA">
        <w:rPr>
          <w:i/>
          <w:sz w:val="24"/>
        </w:rPr>
        <w:t xml:space="preserve">regional </w:t>
      </w:r>
      <w:r>
        <w:rPr>
          <w:sz w:val="24"/>
        </w:rPr>
        <w:t xml:space="preserve">accreditor, </w:t>
      </w:r>
      <w:r w:rsidR="00E20392" w:rsidRPr="00877C1E">
        <w:rPr>
          <w:sz w:val="24"/>
        </w:rPr>
        <w:t xml:space="preserve">Department staff corresponded with </w:t>
      </w:r>
      <w:r w:rsidR="008F69C4">
        <w:rPr>
          <w:sz w:val="24"/>
        </w:rPr>
        <w:t>seven</w:t>
      </w:r>
      <w:r w:rsidR="00E20392" w:rsidRPr="00877C1E">
        <w:rPr>
          <w:sz w:val="24"/>
        </w:rPr>
        <w:t xml:space="preserve">teen </w:t>
      </w:r>
      <w:r w:rsidRPr="00BA14EA">
        <w:rPr>
          <w:i/>
          <w:sz w:val="24"/>
        </w:rPr>
        <w:t>national</w:t>
      </w:r>
      <w:r>
        <w:rPr>
          <w:sz w:val="24"/>
        </w:rPr>
        <w:t xml:space="preserve"> </w:t>
      </w:r>
      <w:r w:rsidR="00E20392" w:rsidRPr="00877C1E">
        <w:rPr>
          <w:sz w:val="24"/>
        </w:rPr>
        <w:t>accreditors of the most common college programs, such as Accreditation Board for Engineering and Technology (ABET), Association to Advance Collegiate Schools of Business (AACSB International) and Association of Americ</w:t>
      </w:r>
      <w:r w:rsidR="00280F62">
        <w:rPr>
          <w:sz w:val="24"/>
        </w:rPr>
        <w:t>an Medical Colleges  (AAMC)</w:t>
      </w:r>
      <w:r w:rsidR="00E20392" w:rsidRPr="00877C1E">
        <w:rPr>
          <w:sz w:val="24"/>
        </w:rPr>
        <w:t xml:space="preserve"> to name a few. Of these </w:t>
      </w:r>
      <w:r w:rsidR="008F69C4">
        <w:rPr>
          <w:sz w:val="24"/>
        </w:rPr>
        <w:t>seven</w:t>
      </w:r>
      <w:r w:rsidR="00E20392" w:rsidRPr="00877C1E">
        <w:rPr>
          <w:sz w:val="24"/>
        </w:rPr>
        <w:t xml:space="preserve">teen program accreditors, </w:t>
      </w:r>
      <w:r w:rsidR="00E20392" w:rsidRPr="00676828">
        <w:rPr>
          <w:sz w:val="24"/>
        </w:rPr>
        <w:t>only one</w:t>
      </w:r>
      <w:r w:rsidR="00E20392" w:rsidRPr="00877C1E">
        <w:rPr>
          <w:sz w:val="24"/>
        </w:rPr>
        <w:t xml:space="preserve"> </w:t>
      </w:r>
      <w:r w:rsidR="00961E23">
        <w:rPr>
          <w:sz w:val="24"/>
        </w:rPr>
        <w:t xml:space="preserve">(Council on Social Work Education, CSWE) </w:t>
      </w:r>
      <w:r w:rsidR="00E20392" w:rsidRPr="00877C1E">
        <w:rPr>
          <w:sz w:val="24"/>
        </w:rPr>
        <w:t xml:space="preserve">places any restrictions on the awarding or transfer of PLA credit and they added “[We are] </w:t>
      </w:r>
      <w:r w:rsidR="00E20392" w:rsidRPr="00877C1E">
        <w:rPr>
          <w:rFonts w:cs="Arial"/>
          <w:sz w:val="24"/>
        </w:rPr>
        <w:t>currently in a standards revision process and are looking at this standard given the increase in prior learning and direct assessment programs”</w:t>
      </w:r>
      <w:r w:rsidR="00E20392" w:rsidRPr="00877C1E">
        <w:rPr>
          <w:sz w:val="24"/>
        </w:rPr>
        <w:t xml:space="preserve"> (email communication, 11/25/2014). </w:t>
      </w:r>
      <w:r w:rsidR="00961E23">
        <w:rPr>
          <w:sz w:val="24"/>
        </w:rPr>
        <w:t xml:space="preserve">CSWE’s restriction on PLA credit, however, applies only to coursework in Social Work, not general education courses. </w:t>
      </w:r>
      <w:r w:rsidR="00E20392" w:rsidRPr="00877C1E">
        <w:rPr>
          <w:sz w:val="24"/>
        </w:rPr>
        <w:t xml:space="preserve">All of the accreditors’ emailed responses are on file in the Academic Affairs office and the compiled results of the queries are available in </w:t>
      </w:r>
      <w:r w:rsidR="00B23798" w:rsidRPr="00B23798">
        <w:rPr>
          <w:sz w:val="24"/>
        </w:rPr>
        <w:t>Appendix C: Responses on PLA and Online Coursework from</w:t>
      </w:r>
      <w:r w:rsidR="00B23798">
        <w:rPr>
          <w:sz w:val="24"/>
        </w:rPr>
        <w:t xml:space="preserve"> </w:t>
      </w:r>
      <w:r w:rsidR="00B23798" w:rsidRPr="00B23798">
        <w:rPr>
          <w:sz w:val="24"/>
        </w:rPr>
        <w:t>Accrediting Organizations Recognized by Council for Higher Education Accreditation and University of Colorado Denver’s Schools of Health</w:t>
      </w:r>
      <w:r w:rsidR="00E20392" w:rsidRPr="00877C1E">
        <w:rPr>
          <w:sz w:val="24"/>
        </w:rPr>
        <w:t>.</w:t>
      </w:r>
    </w:p>
    <w:p w:rsidR="00127558" w:rsidRPr="00877C1E" w:rsidRDefault="00127558" w:rsidP="00E20392">
      <w:pPr>
        <w:pStyle w:val="NoSpacing"/>
        <w:jc w:val="both"/>
        <w:rPr>
          <w:sz w:val="24"/>
        </w:rPr>
      </w:pPr>
    </w:p>
    <w:p w:rsidR="00531EBF" w:rsidRDefault="007C2EAF" w:rsidP="00B23798">
      <w:pPr>
        <w:pStyle w:val="NoSpacing"/>
        <w:jc w:val="both"/>
        <w:rPr>
          <w:sz w:val="24"/>
        </w:rPr>
      </w:pPr>
      <w:r>
        <w:rPr>
          <w:sz w:val="24"/>
        </w:rPr>
        <w:t>Because faculty frequently cite graduate programs, especially those in health, as having restrictions on PLA credits, department staff queried a</w:t>
      </w:r>
      <w:r w:rsidR="00E20392">
        <w:rPr>
          <w:sz w:val="24"/>
        </w:rPr>
        <w:t xml:space="preserve">ll five of </w:t>
      </w:r>
      <w:r w:rsidRPr="00B23798">
        <w:rPr>
          <w:sz w:val="24"/>
        </w:rPr>
        <w:t>University of Colorado Denver’s Schools of Health</w:t>
      </w:r>
      <w:r>
        <w:rPr>
          <w:sz w:val="24"/>
        </w:rPr>
        <w:t xml:space="preserve"> and found they do</w:t>
      </w:r>
      <w:r w:rsidR="00E20392">
        <w:rPr>
          <w:sz w:val="24"/>
        </w:rPr>
        <w:t xml:space="preserve"> place </w:t>
      </w:r>
      <w:r w:rsidR="001B4155">
        <w:rPr>
          <w:sz w:val="24"/>
        </w:rPr>
        <w:t xml:space="preserve">some </w:t>
      </w:r>
      <w:r w:rsidR="00E20392">
        <w:rPr>
          <w:sz w:val="24"/>
        </w:rPr>
        <w:t>restrictions on Prior Learning Assessment credit in applicants’ undergraduate prerequisite coursework</w:t>
      </w:r>
      <w:r>
        <w:rPr>
          <w:sz w:val="24"/>
        </w:rPr>
        <w:t>. I</w:t>
      </w:r>
      <w:r w:rsidR="00E20392">
        <w:rPr>
          <w:sz w:val="24"/>
        </w:rPr>
        <w:t xml:space="preserve">t should be </w:t>
      </w:r>
      <w:proofErr w:type="gramStart"/>
      <w:r w:rsidR="00E20392">
        <w:rPr>
          <w:sz w:val="24"/>
        </w:rPr>
        <w:t>noted,</w:t>
      </w:r>
      <w:proofErr w:type="gramEnd"/>
      <w:r w:rsidR="00E20392">
        <w:rPr>
          <w:sz w:val="24"/>
        </w:rPr>
        <w:t xml:space="preserve"> </w:t>
      </w:r>
      <w:r>
        <w:rPr>
          <w:sz w:val="24"/>
        </w:rPr>
        <w:t>however, the restrictions are imposed</w:t>
      </w:r>
      <w:r w:rsidR="00E20392">
        <w:rPr>
          <w:sz w:val="24"/>
        </w:rPr>
        <w:t xml:space="preserve"> by the faculty in those schools and are not requirements of the program accreditors. (See</w:t>
      </w:r>
      <w:r w:rsidR="00280F62">
        <w:rPr>
          <w:sz w:val="24"/>
        </w:rPr>
        <w:t>, again,</w:t>
      </w:r>
      <w:r w:rsidR="00E20392">
        <w:rPr>
          <w:sz w:val="24"/>
        </w:rPr>
        <w:t xml:space="preserve"> </w:t>
      </w:r>
      <w:r w:rsidR="00B23798" w:rsidRPr="00B23798">
        <w:rPr>
          <w:sz w:val="24"/>
        </w:rPr>
        <w:t>Appendix C: Responses on PLA and Online Coursework from</w:t>
      </w:r>
      <w:r w:rsidR="00B23798">
        <w:rPr>
          <w:sz w:val="24"/>
        </w:rPr>
        <w:t xml:space="preserve"> </w:t>
      </w:r>
      <w:r w:rsidR="00B23798" w:rsidRPr="00B23798">
        <w:rPr>
          <w:sz w:val="24"/>
        </w:rPr>
        <w:t>Accrediting Organizations Recognized by Council for Higher Education Accreditation and University of Colorado Denver’s Schools of Health</w:t>
      </w:r>
      <w:r w:rsidR="00E20392">
        <w:rPr>
          <w:sz w:val="24"/>
        </w:rPr>
        <w:t xml:space="preserve">). Thus, any comprehensive, statewide policy that could increase the </w:t>
      </w:r>
      <w:r w:rsidR="006B01F8">
        <w:rPr>
          <w:sz w:val="24"/>
        </w:rPr>
        <w:t>number</w:t>
      </w:r>
      <w:r w:rsidR="00E20392">
        <w:rPr>
          <w:sz w:val="24"/>
        </w:rPr>
        <w:t xml:space="preserve"> of credit</w:t>
      </w:r>
      <w:r w:rsidR="006B01F8">
        <w:rPr>
          <w:sz w:val="24"/>
        </w:rPr>
        <w:t>s</w:t>
      </w:r>
      <w:r w:rsidR="00E20392">
        <w:rPr>
          <w:sz w:val="24"/>
        </w:rPr>
        <w:t xml:space="preserve"> awarded for PLA should also address the possibility </w:t>
      </w:r>
      <w:r w:rsidR="00E20392">
        <w:rPr>
          <w:sz w:val="24"/>
        </w:rPr>
        <w:lastRenderedPageBreak/>
        <w:t>that students with PLA credits on their transcripts may be negatively impacted by restrictive admissions policies of some graduate programs, especially in health-related fields.</w:t>
      </w:r>
      <w:r w:rsidR="00531EBF">
        <w:rPr>
          <w:sz w:val="24"/>
        </w:rPr>
        <w:t xml:space="preserve"> The process for developing and implementing a statewide prior learning assessment policy that Department staff envisions, however, will include faculty and admissions representatives who can speak to these concerns.</w:t>
      </w:r>
    </w:p>
    <w:p w:rsidR="002205F6" w:rsidRDefault="002205F6" w:rsidP="00B23798">
      <w:pPr>
        <w:jc w:val="both"/>
        <w:outlineLvl w:val="0"/>
        <w:rPr>
          <w:b/>
          <w:sz w:val="24"/>
        </w:rPr>
      </w:pPr>
    </w:p>
    <w:p w:rsidR="006D48D7" w:rsidRDefault="006D48D7" w:rsidP="00B23798">
      <w:pPr>
        <w:jc w:val="both"/>
        <w:outlineLvl w:val="0"/>
        <w:rPr>
          <w:b/>
          <w:sz w:val="24"/>
        </w:rPr>
      </w:pPr>
      <w:r w:rsidRPr="006627D2">
        <w:rPr>
          <w:b/>
          <w:sz w:val="24"/>
        </w:rPr>
        <w:t xml:space="preserve">Research </w:t>
      </w:r>
      <w:r w:rsidR="00450AD5">
        <w:rPr>
          <w:b/>
          <w:sz w:val="24"/>
        </w:rPr>
        <w:t>from National Organizations and Colorado Institutions</w:t>
      </w:r>
    </w:p>
    <w:p w:rsidR="00667BA6" w:rsidRPr="006627D2" w:rsidRDefault="00667BA6" w:rsidP="00B23798">
      <w:pPr>
        <w:jc w:val="both"/>
        <w:outlineLvl w:val="0"/>
        <w:rPr>
          <w:b/>
          <w:sz w:val="24"/>
        </w:rPr>
      </w:pPr>
    </w:p>
    <w:p w:rsidR="006D48D7" w:rsidRPr="00FD0F6A" w:rsidRDefault="006D48D7" w:rsidP="006D48D7">
      <w:pPr>
        <w:jc w:val="both"/>
        <w:outlineLvl w:val="0"/>
        <w:rPr>
          <w:i/>
          <w:sz w:val="24"/>
        </w:rPr>
      </w:pPr>
      <w:r w:rsidRPr="00FD0F6A">
        <w:rPr>
          <w:i/>
          <w:sz w:val="24"/>
        </w:rPr>
        <w:t>Colorado Research</w:t>
      </w:r>
    </w:p>
    <w:p w:rsidR="006D48D7" w:rsidRDefault="006D48D7" w:rsidP="006D48D7">
      <w:pPr>
        <w:jc w:val="both"/>
        <w:outlineLvl w:val="0"/>
        <w:rPr>
          <w:sz w:val="24"/>
        </w:rPr>
      </w:pPr>
    </w:p>
    <w:p w:rsidR="006D48D7" w:rsidRDefault="006D48D7" w:rsidP="006D48D7">
      <w:pPr>
        <w:jc w:val="both"/>
        <w:outlineLvl w:val="0"/>
        <w:rPr>
          <w:sz w:val="24"/>
        </w:rPr>
      </w:pPr>
      <w:r w:rsidRPr="00E56A6A">
        <w:rPr>
          <w:sz w:val="24"/>
        </w:rPr>
        <w:t xml:space="preserve">Jennifer Schneider (2014), Learning Research Analyst at Colorado State University, </w:t>
      </w:r>
      <w:r w:rsidR="00C94232">
        <w:rPr>
          <w:sz w:val="24"/>
        </w:rPr>
        <w:t xml:space="preserve">studied </w:t>
      </w:r>
      <w:r w:rsidR="00C94232">
        <w:rPr>
          <w:bCs/>
          <w:sz w:val="24"/>
        </w:rPr>
        <w:t xml:space="preserve">CSU full-time, first-time </w:t>
      </w:r>
      <w:r w:rsidR="00C94232" w:rsidRPr="00E56A6A">
        <w:rPr>
          <w:bCs/>
          <w:sz w:val="24"/>
        </w:rPr>
        <w:t xml:space="preserve">undergraduates’ first year GPA </w:t>
      </w:r>
      <w:r w:rsidR="00C94232">
        <w:rPr>
          <w:bCs/>
          <w:sz w:val="24"/>
        </w:rPr>
        <w:t>and AP</w:t>
      </w:r>
      <w:r w:rsidR="00C94232" w:rsidRPr="00E56A6A">
        <w:rPr>
          <w:bCs/>
          <w:sz w:val="24"/>
        </w:rPr>
        <w:t xml:space="preserve"> exam scores</w:t>
      </w:r>
      <w:r w:rsidR="00C94232">
        <w:rPr>
          <w:bCs/>
          <w:sz w:val="24"/>
        </w:rPr>
        <w:t xml:space="preserve">.  She </w:t>
      </w:r>
      <w:r w:rsidR="00583759">
        <w:rPr>
          <w:bCs/>
          <w:sz w:val="24"/>
        </w:rPr>
        <w:t xml:space="preserve">found </w:t>
      </w:r>
      <w:r w:rsidR="00C94232">
        <w:rPr>
          <w:bCs/>
          <w:sz w:val="24"/>
        </w:rPr>
        <w:t>that higher</w:t>
      </w:r>
      <w:r w:rsidR="00583759">
        <w:rPr>
          <w:bCs/>
          <w:sz w:val="24"/>
        </w:rPr>
        <w:t xml:space="preserve"> scores on AP exams </w:t>
      </w:r>
      <w:r w:rsidR="00C94232">
        <w:rPr>
          <w:bCs/>
          <w:sz w:val="24"/>
        </w:rPr>
        <w:t>are correlated with higher GPA</w:t>
      </w:r>
      <w:r w:rsidR="00583759">
        <w:rPr>
          <w:bCs/>
          <w:sz w:val="24"/>
        </w:rPr>
        <w:t>. But more importantly she found that as long as a student scored at least a 3 on an AP exam</w:t>
      </w:r>
      <w:r w:rsidR="00C94232">
        <w:rPr>
          <w:bCs/>
          <w:sz w:val="24"/>
        </w:rPr>
        <w:t>,</w:t>
      </w:r>
      <w:r w:rsidR="00583759">
        <w:rPr>
          <w:bCs/>
          <w:sz w:val="24"/>
        </w:rPr>
        <w:t xml:space="preserve"> it was sufficient for them to pass subsequent coursework. </w:t>
      </w:r>
      <w:r w:rsidRPr="00E56A6A">
        <w:rPr>
          <w:sz w:val="24"/>
        </w:rPr>
        <w:t>Schneider also compared students’ performance in MATH 161: Calculus for Physical Scientists II based on how they earned credit for its prerequisite course, MATH 160: Calculus for Physical Scientists I. She found:</w:t>
      </w:r>
    </w:p>
    <w:p w:rsidR="006D48D7" w:rsidRPr="00E56A6A" w:rsidRDefault="006D48D7" w:rsidP="006D48D7">
      <w:pPr>
        <w:jc w:val="both"/>
        <w:outlineLvl w:val="0"/>
        <w:rPr>
          <w:sz w:val="24"/>
        </w:rPr>
      </w:pPr>
    </w:p>
    <w:p w:rsidR="006D48D7" w:rsidRPr="00BA14EA" w:rsidRDefault="006D48D7" w:rsidP="006D48D7">
      <w:pPr>
        <w:pStyle w:val="ListParagraph"/>
        <w:numPr>
          <w:ilvl w:val="0"/>
          <w:numId w:val="13"/>
        </w:numPr>
        <w:spacing w:after="120" w:line="240" w:lineRule="auto"/>
        <w:contextualSpacing w:val="0"/>
        <w:jc w:val="both"/>
        <w:outlineLvl w:val="0"/>
        <w:rPr>
          <w:rFonts w:ascii="Times New Roman" w:hAnsi="Times New Roman"/>
          <w:sz w:val="24"/>
          <w:szCs w:val="24"/>
        </w:rPr>
      </w:pPr>
      <w:r w:rsidRPr="008F42A5">
        <w:rPr>
          <w:rFonts w:ascii="Times New Roman" w:hAnsi="Times New Roman"/>
          <w:sz w:val="24"/>
          <w:szCs w:val="24"/>
        </w:rPr>
        <w:t>64.3%</w:t>
      </w:r>
      <w:r w:rsidRPr="00BA14EA">
        <w:rPr>
          <w:rFonts w:ascii="Times New Roman" w:hAnsi="Times New Roman"/>
          <w:sz w:val="24"/>
          <w:szCs w:val="24"/>
        </w:rPr>
        <w:t xml:space="preserve"> of students passed MATH 161 if they took MATH 160 at another 4-year institution; </w:t>
      </w:r>
    </w:p>
    <w:p w:rsidR="006D48D7" w:rsidRPr="00E56A6A" w:rsidRDefault="006D48D7" w:rsidP="006D48D7">
      <w:pPr>
        <w:pStyle w:val="ListParagraph"/>
        <w:numPr>
          <w:ilvl w:val="0"/>
          <w:numId w:val="13"/>
        </w:numPr>
        <w:spacing w:after="120" w:line="240" w:lineRule="auto"/>
        <w:contextualSpacing w:val="0"/>
        <w:jc w:val="both"/>
        <w:outlineLvl w:val="0"/>
        <w:rPr>
          <w:rFonts w:ascii="Times New Roman" w:hAnsi="Times New Roman"/>
          <w:sz w:val="24"/>
          <w:szCs w:val="24"/>
        </w:rPr>
      </w:pPr>
      <w:r w:rsidRPr="00E56A6A">
        <w:rPr>
          <w:rFonts w:ascii="Times New Roman" w:hAnsi="Times New Roman"/>
          <w:sz w:val="24"/>
          <w:szCs w:val="24"/>
        </w:rPr>
        <w:t xml:space="preserve">63.6% of students passed MATH 161 if they scored 3 on the AP Calculus exam. </w:t>
      </w:r>
    </w:p>
    <w:p w:rsidR="006D48D7" w:rsidRDefault="006D48D7" w:rsidP="006D48D7">
      <w:pPr>
        <w:jc w:val="both"/>
        <w:outlineLvl w:val="0"/>
        <w:rPr>
          <w:sz w:val="24"/>
        </w:rPr>
      </w:pPr>
      <w:r>
        <w:rPr>
          <w:sz w:val="24"/>
        </w:rPr>
        <w:t>Schneider’s research is important because it indicates that no matter</w:t>
      </w:r>
      <w:r w:rsidR="006B01F8">
        <w:rPr>
          <w:sz w:val="24"/>
        </w:rPr>
        <w:t xml:space="preserve"> what passing score a student got (3, 4 or 5) on the</w:t>
      </w:r>
      <w:r>
        <w:rPr>
          <w:sz w:val="24"/>
        </w:rPr>
        <w:t xml:space="preserve"> AP exam</w:t>
      </w:r>
      <w:r w:rsidR="006B01F8">
        <w:rPr>
          <w:sz w:val="24"/>
        </w:rPr>
        <w:t>s considered</w:t>
      </w:r>
      <w:r>
        <w:rPr>
          <w:sz w:val="24"/>
        </w:rPr>
        <w:t xml:space="preserve">, the fact that a student </w:t>
      </w:r>
      <w:r w:rsidRPr="006B01F8">
        <w:rPr>
          <w:i/>
          <w:sz w:val="24"/>
        </w:rPr>
        <w:t>took</w:t>
      </w:r>
      <w:r>
        <w:rPr>
          <w:sz w:val="24"/>
        </w:rPr>
        <w:t xml:space="preserve"> an AP course and the corresponding exam matters more than what score they got on it</w:t>
      </w:r>
      <w:r w:rsidR="0035086A">
        <w:rPr>
          <w:sz w:val="24"/>
        </w:rPr>
        <w:t>, insofar as students passed subsequent coursework</w:t>
      </w:r>
      <w:r>
        <w:rPr>
          <w:sz w:val="24"/>
        </w:rPr>
        <w:t xml:space="preserve">. Less selective institutions generally accept a 3 to award credit for AP but when students transfer to more selective institutions, they often lose that credit because the </w:t>
      </w:r>
      <w:proofErr w:type="gramStart"/>
      <w:r>
        <w:rPr>
          <w:sz w:val="24"/>
        </w:rPr>
        <w:t>faculty at the more selective institutions believe</w:t>
      </w:r>
      <w:proofErr w:type="gramEnd"/>
      <w:r>
        <w:rPr>
          <w:sz w:val="24"/>
        </w:rPr>
        <w:t xml:space="preserve"> that a score of 4 or 5 is required to demonstrate adequate preparation. This research indicates that a minimum score of 3 is probably adequate in most cases and this is also supported by research from other states that have adopted 3 as the statewide cut score, as well as College Board’s own research on college performance of students who take AP in high school.</w:t>
      </w:r>
    </w:p>
    <w:p w:rsidR="00961E23" w:rsidRDefault="00961E23" w:rsidP="006D48D7">
      <w:pPr>
        <w:jc w:val="both"/>
        <w:outlineLvl w:val="0"/>
        <w:rPr>
          <w:sz w:val="24"/>
        </w:rPr>
      </w:pPr>
    </w:p>
    <w:p w:rsidR="006B01F8" w:rsidRDefault="006B01F8" w:rsidP="006B01F8">
      <w:pPr>
        <w:autoSpaceDE w:val="0"/>
        <w:autoSpaceDN w:val="0"/>
        <w:adjustRightInd w:val="0"/>
        <w:jc w:val="both"/>
        <w:rPr>
          <w:sz w:val="24"/>
        </w:rPr>
      </w:pPr>
      <w:r w:rsidRPr="00FD0F6A">
        <w:rPr>
          <w:i/>
          <w:sz w:val="24"/>
        </w:rPr>
        <w:t>National Research</w:t>
      </w:r>
      <w:r>
        <w:rPr>
          <w:i/>
          <w:sz w:val="24"/>
        </w:rPr>
        <w:t>: Advanced Placement</w:t>
      </w:r>
    </w:p>
    <w:p w:rsidR="006B01F8" w:rsidRDefault="006B01F8" w:rsidP="006B01F8">
      <w:pPr>
        <w:jc w:val="both"/>
        <w:outlineLvl w:val="0"/>
        <w:rPr>
          <w:sz w:val="24"/>
        </w:rPr>
      </w:pPr>
    </w:p>
    <w:p w:rsidR="006B01F8" w:rsidRDefault="006B01F8" w:rsidP="006B01F8">
      <w:pPr>
        <w:jc w:val="both"/>
        <w:outlineLvl w:val="0"/>
        <w:rPr>
          <w:sz w:val="24"/>
        </w:rPr>
      </w:pPr>
      <w:r>
        <w:rPr>
          <w:sz w:val="24"/>
        </w:rPr>
        <w:t>College Board administers the Advanced Placement (AP) course and exam program and studies the correlation between students who take AP exams and how well they do in subsequent college coursework. All of College Board’s data indicates that high school students who take AP exams have higher mean grades in subsequent coursework than their peers who do not take AP exams and that exam takers (for most AP exams) who achieve a score of at least 3 (out of 5 possible) attained the same or higher grades in subsequent courses and achieved higher GPAs in the subject area of the AP exam that was completed.</w:t>
      </w:r>
    </w:p>
    <w:p w:rsidR="006B01F8" w:rsidRDefault="006B01F8" w:rsidP="006B01F8">
      <w:pPr>
        <w:jc w:val="both"/>
        <w:outlineLvl w:val="0"/>
        <w:rPr>
          <w:sz w:val="24"/>
        </w:rPr>
      </w:pPr>
    </w:p>
    <w:p w:rsidR="006B01F8" w:rsidRDefault="006B01F8" w:rsidP="006B01F8">
      <w:pPr>
        <w:jc w:val="both"/>
        <w:outlineLvl w:val="0"/>
        <w:rPr>
          <w:sz w:val="24"/>
        </w:rPr>
      </w:pPr>
      <w:r>
        <w:rPr>
          <w:sz w:val="24"/>
        </w:rPr>
        <w:t>Patterson, et al. (2011), completed a study on the correlation of AP exam takers and college performance that included 110 four-year institutions and 195,099 first-time, first-year students who enrolled in college in fall 2006.  They report:</w:t>
      </w:r>
    </w:p>
    <w:p w:rsidR="006B01F8" w:rsidRDefault="006B01F8" w:rsidP="006B01F8">
      <w:pPr>
        <w:jc w:val="both"/>
        <w:outlineLvl w:val="0"/>
        <w:rPr>
          <w:sz w:val="24"/>
        </w:rPr>
      </w:pPr>
    </w:p>
    <w:p w:rsidR="006B01F8" w:rsidRPr="006245CA" w:rsidRDefault="006B01F8" w:rsidP="006B01F8">
      <w:pPr>
        <w:autoSpaceDE w:val="0"/>
        <w:autoSpaceDN w:val="0"/>
        <w:adjustRightInd w:val="0"/>
        <w:ind w:left="576" w:right="432"/>
        <w:jc w:val="both"/>
        <w:rPr>
          <w:b/>
          <w:sz w:val="24"/>
          <w:u w:val="single"/>
        </w:rPr>
      </w:pPr>
      <w:r w:rsidRPr="006245CA">
        <w:rPr>
          <w:rFonts w:eastAsia="UniversLTStd-Light"/>
          <w:sz w:val="24"/>
        </w:rPr>
        <w:lastRenderedPageBreak/>
        <w:t>For seven of the nine subject areas, students with</w:t>
      </w:r>
      <w:r>
        <w:rPr>
          <w:rFonts w:eastAsia="UniversLTStd-Light"/>
          <w:sz w:val="24"/>
        </w:rPr>
        <w:t xml:space="preserve"> </w:t>
      </w:r>
      <w:r w:rsidRPr="006245CA">
        <w:rPr>
          <w:rFonts w:eastAsia="UniversLTStd-Light"/>
          <w:sz w:val="24"/>
        </w:rPr>
        <w:t>a mean AP Exam grade of 3 or better significantly</w:t>
      </w:r>
      <w:r>
        <w:rPr>
          <w:rFonts w:eastAsia="UniversLTStd-Light"/>
          <w:sz w:val="24"/>
        </w:rPr>
        <w:t xml:space="preserve"> </w:t>
      </w:r>
      <w:r w:rsidRPr="006245CA">
        <w:rPr>
          <w:rFonts w:eastAsia="UniversLTStd-Light"/>
          <w:sz w:val="24"/>
        </w:rPr>
        <w:t>outperformed the reference group of non-examinees</w:t>
      </w:r>
      <w:r>
        <w:rPr>
          <w:rFonts w:eastAsia="UniversLTStd-Light"/>
          <w:sz w:val="24"/>
        </w:rPr>
        <w:t xml:space="preserve"> </w:t>
      </w:r>
      <w:r w:rsidRPr="006245CA">
        <w:rPr>
          <w:rFonts w:eastAsia="UniversLTStd-Light"/>
          <w:sz w:val="24"/>
        </w:rPr>
        <w:t>in the relevant subject area. The two subject areas</w:t>
      </w:r>
      <w:r>
        <w:rPr>
          <w:rFonts w:eastAsia="UniversLTStd-Light"/>
          <w:sz w:val="24"/>
        </w:rPr>
        <w:t xml:space="preserve"> </w:t>
      </w:r>
      <w:r w:rsidRPr="006245CA">
        <w:rPr>
          <w:rFonts w:eastAsia="UniversLTStd-Light"/>
          <w:sz w:val="24"/>
        </w:rPr>
        <w:t>where students earning a 3 failed to outperform non-AP examinees — art and music and</w:t>
      </w:r>
      <w:r>
        <w:rPr>
          <w:rFonts w:eastAsia="UniversLTStd-Light"/>
          <w:sz w:val="24"/>
        </w:rPr>
        <w:t xml:space="preserve"> </w:t>
      </w:r>
      <w:r w:rsidRPr="006245CA">
        <w:rPr>
          <w:rFonts w:eastAsia="UniversLTStd-Light"/>
          <w:sz w:val="24"/>
        </w:rPr>
        <w:t>computer science — were also those with the smallest AP participation rates. In four of the</w:t>
      </w:r>
      <w:r>
        <w:rPr>
          <w:rFonts w:eastAsia="UniversLTStd-Light"/>
          <w:sz w:val="24"/>
        </w:rPr>
        <w:t xml:space="preserve"> </w:t>
      </w:r>
      <w:r w:rsidRPr="006245CA">
        <w:rPr>
          <w:rFonts w:eastAsia="UniversLTStd-Light"/>
          <w:sz w:val="24"/>
        </w:rPr>
        <w:t>nine content areas (mathematics, history, English, and world language), students whose</w:t>
      </w:r>
      <w:r>
        <w:rPr>
          <w:rFonts w:eastAsia="UniversLTStd-Light"/>
          <w:sz w:val="24"/>
        </w:rPr>
        <w:t xml:space="preserve"> </w:t>
      </w:r>
      <w:r w:rsidRPr="006245CA">
        <w:rPr>
          <w:rFonts w:eastAsia="UniversLTStd-Light"/>
          <w:sz w:val="24"/>
        </w:rPr>
        <w:t>mean AP Exam grade in the subject was a 2 significantly outperformed non-AP examinees in</w:t>
      </w:r>
      <w:r>
        <w:rPr>
          <w:rFonts w:eastAsia="UniversLTStd-Light"/>
          <w:sz w:val="24"/>
        </w:rPr>
        <w:t xml:space="preserve"> </w:t>
      </w:r>
      <w:r w:rsidRPr="006245CA">
        <w:rPr>
          <w:rFonts w:eastAsia="UniversLTStd-Light"/>
          <w:sz w:val="24"/>
        </w:rPr>
        <w:t xml:space="preserve">that discipline in terms of expected </w:t>
      </w:r>
      <w:r>
        <w:rPr>
          <w:rFonts w:eastAsia="UniversLTStd-Light"/>
          <w:sz w:val="24"/>
        </w:rPr>
        <w:t>[GPA]</w:t>
      </w:r>
      <w:r w:rsidRPr="006245CA">
        <w:rPr>
          <w:rFonts w:eastAsia="UniversLTStd-Light"/>
          <w:sz w:val="24"/>
        </w:rPr>
        <w:t>. (p. 33)</w:t>
      </w:r>
    </w:p>
    <w:p w:rsidR="006B01F8" w:rsidRDefault="006B01F8" w:rsidP="006B01F8">
      <w:pPr>
        <w:jc w:val="both"/>
        <w:outlineLvl w:val="0"/>
        <w:rPr>
          <w:b/>
          <w:sz w:val="24"/>
          <w:u w:val="single"/>
        </w:rPr>
      </w:pPr>
    </w:p>
    <w:p w:rsidR="006B01F8" w:rsidRDefault="006B01F8" w:rsidP="006B01F8">
      <w:pPr>
        <w:jc w:val="both"/>
        <w:outlineLvl w:val="0"/>
        <w:rPr>
          <w:rFonts w:eastAsia="UniversLTStd-Light"/>
          <w:sz w:val="24"/>
        </w:rPr>
      </w:pPr>
      <w:r>
        <w:rPr>
          <w:sz w:val="24"/>
        </w:rPr>
        <w:t xml:space="preserve">Patterson, et al.’s findings are consistent with the other research on AP exam takers’ college performance, much of which is referenced in Patterson, et al.’s Introduction on pp. 4-7 of their report. The fact that students who score a 2 or higher on most AP exams </w:t>
      </w:r>
      <w:r>
        <w:rPr>
          <w:rFonts w:eastAsia="UniversLTStd-Light"/>
          <w:sz w:val="24"/>
        </w:rPr>
        <w:t>significantly outperform</w:t>
      </w:r>
      <w:r w:rsidRPr="006245CA">
        <w:rPr>
          <w:rFonts w:eastAsia="UniversLTStd-Light"/>
          <w:sz w:val="24"/>
        </w:rPr>
        <w:t xml:space="preserve"> non-AP examinees in</w:t>
      </w:r>
      <w:r>
        <w:rPr>
          <w:rFonts w:eastAsia="UniversLTStd-Light"/>
          <w:sz w:val="24"/>
        </w:rPr>
        <w:t xml:space="preserve"> </w:t>
      </w:r>
      <w:r w:rsidRPr="006245CA">
        <w:rPr>
          <w:rFonts w:eastAsia="UniversLTStd-Light"/>
          <w:sz w:val="24"/>
        </w:rPr>
        <w:t xml:space="preserve">that </w:t>
      </w:r>
      <w:proofErr w:type="gramStart"/>
      <w:r w:rsidRPr="006245CA">
        <w:rPr>
          <w:rFonts w:eastAsia="UniversLTStd-Light"/>
          <w:sz w:val="24"/>
        </w:rPr>
        <w:t>discipline</w:t>
      </w:r>
      <w:r w:rsidR="007F4761">
        <w:rPr>
          <w:rFonts w:eastAsia="UniversLTStd-Light"/>
          <w:sz w:val="24"/>
        </w:rPr>
        <w:t>,</w:t>
      </w:r>
      <w:proofErr w:type="gramEnd"/>
      <w:r>
        <w:rPr>
          <w:rFonts w:eastAsia="UniversLTStd-Light"/>
          <w:sz w:val="24"/>
        </w:rPr>
        <w:t xml:space="preserve"> makes a statewide cut score of 3 seem reasonable for most AP exams. </w:t>
      </w:r>
    </w:p>
    <w:p w:rsidR="00AB7370" w:rsidRDefault="00AB7370" w:rsidP="006B01F8">
      <w:pPr>
        <w:jc w:val="both"/>
        <w:outlineLvl w:val="0"/>
        <w:rPr>
          <w:rFonts w:eastAsia="UniversLTStd-Light"/>
          <w:sz w:val="24"/>
        </w:rPr>
      </w:pPr>
    </w:p>
    <w:p w:rsidR="00AB7370" w:rsidRDefault="00AB7370" w:rsidP="006B01F8">
      <w:pPr>
        <w:jc w:val="both"/>
        <w:outlineLvl w:val="0"/>
        <w:rPr>
          <w:rFonts w:eastAsia="UniversLTStd-Light"/>
          <w:sz w:val="24"/>
        </w:rPr>
      </w:pPr>
      <w:r>
        <w:rPr>
          <w:rFonts w:eastAsia="UniversLTStd-Light"/>
          <w:sz w:val="24"/>
        </w:rPr>
        <w:t>A statewide cut score of 3 on AP Exams also has the potential to greatly benefit students of color and low socio-economic status students. Data</w:t>
      </w:r>
      <w:r w:rsidR="00E9632C">
        <w:rPr>
          <w:rFonts w:eastAsia="UniversLTStd-Light"/>
          <w:sz w:val="24"/>
        </w:rPr>
        <w:t xml:space="preserve"> for 2014 from all Colorado </w:t>
      </w:r>
      <w:r w:rsidR="007F4761">
        <w:rPr>
          <w:rFonts w:eastAsia="UniversLTStd-Light"/>
          <w:sz w:val="24"/>
        </w:rPr>
        <w:t xml:space="preserve">high </w:t>
      </w:r>
      <w:r w:rsidR="00E9632C">
        <w:rPr>
          <w:rFonts w:eastAsia="UniversLTStd-Light"/>
          <w:sz w:val="24"/>
        </w:rPr>
        <w:t>schools</w:t>
      </w:r>
      <w:r>
        <w:rPr>
          <w:rFonts w:eastAsia="UniversLTStd-Light"/>
          <w:sz w:val="24"/>
        </w:rPr>
        <w:t xml:space="preserve">, pulled by College Board staff and sent in a personal communication (January 28, 2015) to department staff, </w:t>
      </w:r>
      <w:r w:rsidR="00E9632C">
        <w:rPr>
          <w:rFonts w:eastAsia="UniversLTStd-Light"/>
          <w:sz w:val="24"/>
        </w:rPr>
        <w:t xml:space="preserve">is shown below in </w:t>
      </w:r>
      <w:r w:rsidR="007622A2">
        <w:rPr>
          <w:rFonts w:eastAsia="UniversLTStd-Light"/>
          <w:sz w:val="24"/>
        </w:rPr>
        <w:t>Table 2</w:t>
      </w:r>
      <w:r w:rsidR="00E9632C">
        <w:rPr>
          <w:rFonts w:eastAsia="UniversLTStd-Light"/>
          <w:sz w:val="24"/>
        </w:rPr>
        <w:t>. The data reveals that students of color are more negatively impacted by higher cut scores on AP exams than are white students. It also shows that as the cut score goes up, the percent of students</w:t>
      </w:r>
      <w:r w:rsidR="00BA14EA">
        <w:rPr>
          <w:rFonts w:eastAsia="UniversLTStd-Light"/>
          <w:sz w:val="24"/>
        </w:rPr>
        <w:t xml:space="preserve"> who pass</w:t>
      </w:r>
      <w:r w:rsidR="00E9632C">
        <w:rPr>
          <w:rFonts w:eastAsia="UniversLTStd-Light"/>
          <w:sz w:val="24"/>
        </w:rPr>
        <w:t xml:space="preserve"> significantly decreases.</w:t>
      </w:r>
    </w:p>
    <w:p w:rsidR="0040511B" w:rsidRDefault="0040511B" w:rsidP="006B01F8">
      <w:pPr>
        <w:jc w:val="both"/>
        <w:outlineLvl w:val="0"/>
        <w:rPr>
          <w:rFonts w:eastAsia="UniversLTStd-Light"/>
          <w:sz w:val="24"/>
        </w:rPr>
      </w:pPr>
    </w:p>
    <w:p w:rsidR="00AB7370" w:rsidRPr="00E9632C" w:rsidRDefault="007622A2" w:rsidP="006B01F8">
      <w:pPr>
        <w:jc w:val="both"/>
        <w:outlineLvl w:val="0"/>
        <w:rPr>
          <w:b/>
          <w:sz w:val="24"/>
        </w:rPr>
      </w:pPr>
      <w:r>
        <w:rPr>
          <w:b/>
          <w:sz w:val="24"/>
        </w:rPr>
        <w:t>Table 2</w:t>
      </w:r>
      <w:r w:rsidR="00E9632C" w:rsidRPr="00E9632C">
        <w:rPr>
          <w:b/>
          <w:sz w:val="24"/>
        </w:rPr>
        <w:t>: Race &amp; Ethnicity and Low Income Pass Rates by AP Cut Score</w:t>
      </w:r>
    </w:p>
    <w:tbl>
      <w:tblPr>
        <w:tblW w:w="5000" w:type="pct"/>
        <w:tblLook w:val="04A0" w:firstRow="1" w:lastRow="0" w:firstColumn="1" w:lastColumn="0" w:noHBand="0" w:noVBand="1"/>
      </w:tblPr>
      <w:tblGrid>
        <w:gridCol w:w="3975"/>
        <w:gridCol w:w="1839"/>
        <w:gridCol w:w="1839"/>
        <w:gridCol w:w="1923"/>
      </w:tblGrid>
      <w:tr w:rsidR="00AB7370" w:rsidRPr="00915208" w:rsidTr="008D2D62">
        <w:trPr>
          <w:trHeight w:val="600"/>
        </w:trPr>
        <w:tc>
          <w:tcPr>
            <w:tcW w:w="2076" w:type="pct"/>
            <w:tcBorders>
              <w:top w:val="nil"/>
              <w:left w:val="single" w:sz="4" w:space="0" w:color="auto"/>
              <w:bottom w:val="single" w:sz="4" w:space="0" w:color="auto"/>
              <w:right w:val="single" w:sz="4" w:space="0" w:color="auto"/>
            </w:tcBorders>
            <w:shd w:val="clear" w:color="000000" w:fill="F2F2F2" w:themeFill="background1" w:themeFillShade="F2"/>
            <w:vAlign w:val="bottom"/>
            <w:hideMark/>
          </w:tcPr>
          <w:p w:rsidR="00AB7370" w:rsidRPr="008D2D62" w:rsidRDefault="00AB7370" w:rsidP="008D2D62">
            <w:pPr>
              <w:jc w:val="center"/>
              <w:rPr>
                <w:b/>
                <w:color w:val="000000"/>
                <w:sz w:val="24"/>
              </w:rPr>
            </w:pPr>
            <w:r w:rsidRPr="008D2D62">
              <w:rPr>
                <w:b/>
                <w:color w:val="000000"/>
                <w:sz w:val="24"/>
              </w:rPr>
              <w:t>For the following test takers:</w:t>
            </w:r>
          </w:p>
        </w:tc>
        <w:tc>
          <w:tcPr>
            <w:tcW w:w="960" w:type="pct"/>
            <w:tcBorders>
              <w:top w:val="nil"/>
              <w:left w:val="nil"/>
              <w:bottom w:val="single" w:sz="4" w:space="0" w:color="auto"/>
              <w:right w:val="single" w:sz="4" w:space="0" w:color="auto"/>
            </w:tcBorders>
            <w:shd w:val="clear" w:color="000000" w:fill="F2F2F2" w:themeFill="background1" w:themeFillShade="F2"/>
            <w:vAlign w:val="bottom"/>
            <w:hideMark/>
          </w:tcPr>
          <w:p w:rsidR="00AB7370" w:rsidRPr="008D2D62" w:rsidRDefault="00AB7370" w:rsidP="008D2D62">
            <w:pPr>
              <w:jc w:val="center"/>
              <w:rPr>
                <w:b/>
                <w:sz w:val="24"/>
              </w:rPr>
            </w:pPr>
            <w:r w:rsidRPr="008D2D62">
              <w:rPr>
                <w:b/>
                <w:sz w:val="24"/>
              </w:rPr>
              <w:t>The %                     who scored a 3</w:t>
            </w:r>
            <w:r w:rsidR="00E9632C" w:rsidRPr="008D2D62">
              <w:rPr>
                <w:b/>
                <w:sz w:val="24"/>
              </w:rPr>
              <w:t xml:space="preserve"> wa</w:t>
            </w:r>
            <w:r w:rsidRPr="008D2D62">
              <w:rPr>
                <w:b/>
                <w:sz w:val="24"/>
              </w:rPr>
              <w:t>s:</w:t>
            </w:r>
          </w:p>
        </w:tc>
        <w:tc>
          <w:tcPr>
            <w:tcW w:w="960" w:type="pct"/>
            <w:tcBorders>
              <w:top w:val="nil"/>
              <w:left w:val="nil"/>
              <w:bottom w:val="single" w:sz="4" w:space="0" w:color="auto"/>
              <w:right w:val="single" w:sz="4" w:space="0" w:color="auto"/>
            </w:tcBorders>
            <w:shd w:val="clear" w:color="000000" w:fill="F2F2F2" w:themeFill="background1" w:themeFillShade="F2"/>
            <w:vAlign w:val="bottom"/>
            <w:hideMark/>
          </w:tcPr>
          <w:p w:rsidR="00AB7370" w:rsidRPr="008D2D62" w:rsidRDefault="00AB7370" w:rsidP="008D2D62">
            <w:pPr>
              <w:jc w:val="center"/>
              <w:rPr>
                <w:b/>
                <w:sz w:val="24"/>
              </w:rPr>
            </w:pPr>
            <w:r w:rsidRPr="008D2D62">
              <w:rPr>
                <w:b/>
                <w:sz w:val="24"/>
              </w:rPr>
              <w:t>The % who                  scored a 4 dropped to:</w:t>
            </w:r>
          </w:p>
        </w:tc>
        <w:tc>
          <w:tcPr>
            <w:tcW w:w="1004" w:type="pct"/>
            <w:tcBorders>
              <w:top w:val="nil"/>
              <w:left w:val="nil"/>
              <w:bottom w:val="single" w:sz="4" w:space="0" w:color="auto"/>
              <w:right w:val="single" w:sz="4" w:space="0" w:color="auto"/>
            </w:tcBorders>
            <w:shd w:val="clear" w:color="000000" w:fill="F2F2F2" w:themeFill="background1" w:themeFillShade="F2"/>
            <w:vAlign w:val="bottom"/>
            <w:hideMark/>
          </w:tcPr>
          <w:p w:rsidR="00AB7370" w:rsidRPr="008D2D62" w:rsidRDefault="00AB7370" w:rsidP="008D2D62">
            <w:pPr>
              <w:jc w:val="center"/>
              <w:rPr>
                <w:b/>
                <w:sz w:val="24"/>
              </w:rPr>
            </w:pPr>
            <w:r w:rsidRPr="008D2D62">
              <w:rPr>
                <w:b/>
                <w:sz w:val="24"/>
              </w:rPr>
              <w:t>The % who scored a  5 dropped even further to:</w:t>
            </w:r>
          </w:p>
        </w:tc>
      </w:tr>
      <w:tr w:rsidR="00AB7370" w:rsidRPr="00915208" w:rsidTr="00E9632C">
        <w:trPr>
          <w:trHeight w:val="300"/>
        </w:trPr>
        <w:tc>
          <w:tcPr>
            <w:tcW w:w="2076" w:type="pct"/>
            <w:tcBorders>
              <w:top w:val="nil"/>
              <w:left w:val="single" w:sz="4" w:space="0" w:color="auto"/>
              <w:bottom w:val="single" w:sz="4" w:space="0" w:color="auto"/>
              <w:right w:val="single" w:sz="4" w:space="0" w:color="auto"/>
            </w:tcBorders>
            <w:shd w:val="clear" w:color="auto" w:fill="auto"/>
            <w:noWrap/>
            <w:vAlign w:val="bottom"/>
            <w:hideMark/>
          </w:tcPr>
          <w:p w:rsidR="00AB7370" w:rsidRPr="00E9632C" w:rsidRDefault="00AB7370" w:rsidP="00915208">
            <w:pPr>
              <w:rPr>
                <w:color w:val="000000"/>
                <w:sz w:val="24"/>
              </w:rPr>
            </w:pPr>
            <w:r w:rsidRPr="00E9632C">
              <w:rPr>
                <w:color w:val="000000"/>
                <w:sz w:val="24"/>
              </w:rPr>
              <w:t>White</w:t>
            </w:r>
          </w:p>
        </w:tc>
        <w:tc>
          <w:tcPr>
            <w:tcW w:w="960" w:type="pct"/>
            <w:tcBorders>
              <w:top w:val="nil"/>
              <w:left w:val="nil"/>
              <w:bottom w:val="single" w:sz="4" w:space="0" w:color="auto"/>
              <w:right w:val="single" w:sz="4" w:space="0" w:color="auto"/>
            </w:tcBorders>
            <w:shd w:val="clear" w:color="auto" w:fill="auto"/>
            <w:noWrap/>
            <w:vAlign w:val="bottom"/>
            <w:hideMark/>
          </w:tcPr>
          <w:p w:rsidR="00AB7370" w:rsidRPr="00E9632C" w:rsidRDefault="00AB7370" w:rsidP="00915208">
            <w:pPr>
              <w:jc w:val="right"/>
              <w:rPr>
                <w:color w:val="000000"/>
                <w:sz w:val="24"/>
              </w:rPr>
            </w:pPr>
            <w:r w:rsidRPr="00E9632C">
              <w:rPr>
                <w:color w:val="000000"/>
                <w:sz w:val="24"/>
              </w:rPr>
              <w:t>44%</w:t>
            </w:r>
          </w:p>
        </w:tc>
        <w:tc>
          <w:tcPr>
            <w:tcW w:w="960" w:type="pct"/>
            <w:tcBorders>
              <w:top w:val="nil"/>
              <w:left w:val="nil"/>
              <w:bottom w:val="single" w:sz="4" w:space="0" w:color="auto"/>
              <w:right w:val="single" w:sz="4" w:space="0" w:color="auto"/>
            </w:tcBorders>
            <w:shd w:val="clear" w:color="auto" w:fill="auto"/>
            <w:noWrap/>
            <w:vAlign w:val="bottom"/>
            <w:hideMark/>
          </w:tcPr>
          <w:p w:rsidR="00AB7370" w:rsidRPr="00E9632C" w:rsidRDefault="00AB7370" w:rsidP="00915208">
            <w:pPr>
              <w:jc w:val="right"/>
              <w:rPr>
                <w:color w:val="000000"/>
                <w:sz w:val="24"/>
              </w:rPr>
            </w:pPr>
            <w:r w:rsidRPr="00E9632C">
              <w:rPr>
                <w:color w:val="000000"/>
                <w:sz w:val="24"/>
              </w:rPr>
              <w:t>34%</w:t>
            </w:r>
          </w:p>
        </w:tc>
        <w:tc>
          <w:tcPr>
            <w:tcW w:w="1004" w:type="pct"/>
            <w:tcBorders>
              <w:top w:val="nil"/>
              <w:left w:val="nil"/>
              <w:bottom w:val="single" w:sz="4" w:space="0" w:color="auto"/>
              <w:right w:val="single" w:sz="4" w:space="0" w:color="auto"/>
            </w:tcBorders>
            <w:shd w:val="clear" w:color="auto" w:fill="auto"/>
            <w:noWrap/>
            <w:vAlign w:val="bottom"/>
            <w:hideMark/>
          </w:tcPr>
          <w:p w:rsidR="00AB7370" w:rsidRPr="00E9632C" w:rsidRDefault="00AB7370" w:rsidP="00915208">
            <w:pPr>
              <w:jc w:val="right"/>
              <w:rPr>
                <w:color w:val="000000"/>
                <w:sz w:val="24"/>
              </w:rPr>
            </w:pPr>
            <w:r w:rsidRPr="00E9632C">
              <w:rPr>
                <w:color w:val="000000"/>
                <w:sz w:val="24"/>
              </w:rPr>
              <w:t>22%</w:t>
            </w:r>
          </w:p>
        </w:tc>
      </w:tr>
      <w:tr w:rsidR="00AB7370" w:rsidRPr="00915208" w:rsidTr="00E9632C">
        <w:trPr>
          <w:trHeight w:val="300"/>
        </w:trPr>
        <w:tc>
          <w:tcPr>
            <w:tcW w:w="2076" w:type="pct"/>
            <w:tcBorders>
              <w:top w:val="nil"/>
              <w:left w:val="single" w:sz="4" w:space="0" w:color="auto"/>
              <w:bottom w:val="single" w:sz="4" w:space="0" w:color="auto"/>
              <w:right w:val="single" w:sz="4" w:space="0" w:color="auto"/>
            </w:tcBorders>
            <w:shd w:val="clear" w:color="auto" w:fill="auto"/>
            <w:noWrap/>
            <w:vAlign w:val="bottom"/>
            <w:hideMark/>
          </w:tcPr>
          <w:p w:rsidR="00AB7370" w:rsidRPr="00E9632C" w:rsidRDefault="00AB7370" w:rsidP="00915208">
            <w:pPr>
              <w:rPr>
                <w:color w:val="000000"/>
                <w:sz w:val="24"/>
              </w:rPr>
            </w:pPr>
            <w:r w:rsidRPr="00E9632C">
              <w:rPr>
                <w:color w:val="000000"/>
                <w:sz w:val="24"/>
              </w:rPr>
              <w:t>Hispanic</w:t>
            </w:r>
          </w:p>
        </w:tc>
        <w:tc>
          <w:tcPr>
            <w:tcW w:w="960" w:type="pct"/>
            <w:tcBorders>
              <w:top w:val="nil"/>
              <w:left w:val="nil"/>
              <w:bottom w:val="single" w:sz="4" w:space="0" w:color="auto"/>
              <w:right w:val="single" w:sz="4" w:space="0" w:color="auto"/>
            </w:tcBorders>
            <w:shd w:val="clear" w:color="auto" w:fill="auto"/>
            <w:noWrap/>
            <w:vAlign w:val="bottom"/>
            <w:hideMark/>
          </w:tcPr>
          <w:p w:rsidR="00AB7370" w:rsidRPr="00E9632C" w:rsidRDefault="00AB7370" w:rsidP="00915208">
            <w:pPr>
              <w:jc w:val="right"/>
              <w:rPr>
                <w:color w:val="000000"/>
                <w:sz w:val="24"/>
              </w:rPr>
            </w:pPr>
            <w:r w:rsidRPr="00E9632C">
              <w:rPr>
                <w:color w:val="000000"/>
                <w:sz w:val="24"/>
              </w:rPr>
              <w:t>50%</w:t>
            </w:r>
          </w:p>
        </w:tc>
        <w:tc>
          <w:tcPr>
            <w:tcW w:w="960" w:type="pct"/>
            <w:tcBorders>
              <w:top w:val="nil"/>
              <w:left w:val="nil"/>
              <w:bottom w:val="single" w:sz="4" w:space="0" w:color="auto"/>
              <w:right w:val="single" w:sz="4" w:space="0" w:color="auto"/>
            </w:tcBorders>
            <w:shd w:val="clear" w:color="auto" w:fill="auto"/>
            <w:noWrap/>
            <w:vAlign w:val="bottom"/>
            <w:hideMark/>
          </w:tcPr>
          <w:p w:rsidR="00AB7370" w:rsidRPr="00E9632C" w:rsidRDefault="00AB7370" w:rsidP="00915208">
            <w:pPr>
              <w:jc w:val="right"/>
              <w:rPr>
                <w:color w:val="000000"/>
                <w:sz w:val="24"/>
              </w:rPr>
            </w:pPr>
            <w:r w:rsidRPr="00E9632C">
              <w:rPr>
                <w:color w:val="000000"/>
                <w:sz w:val="24"/>
              </w:rPr>
              <w:t>33%</w:t>
            </w:r>
          </w:p>
        </w:tc>
        <w:tc>
          <w:tcPr>
            <w:tcW w:w="1004" w:type="pct"/>
            <w:tcBorders>
              <w:top w:val="nil"/>
              <w:left w:val="nil"/>
              <w:bottom w:val="single" w:sz="4" w:space="0" w:color="auto"/>
              <w:right w:val="single" w:sz="4" w:space="0" w:color="auto"/>
            </w:tcBorders>
            <w:shd w:val="clear" w:color="auto" w:fill="auto"/>
            <w:noWrap/>
            <w:vAlign w:val="bottom"/>
            <w:hideMark/>
          </w:tcPr>
          <w:p w:rsidR="00AB7370" w:rsidRPr="00E9632C" w:rsidRDefault="00AB7370" w:rsidP="00915208">
            <w:pPr>
              <w:jc w:val="right"/>
              <w:rPr>
                <w:color w:val="000000"/>
                <w:sz w:val="24"/>
              </w:rPr>
            </w:pPr>
            <w:r w:rsidRPr="00E9632C">
              <w:rPr>
                <w:color w:val="000000"/>
                <w:sz w:val="24"/>
              </w:rPr>
              <w:t>17%</w:t>
            </w:r>
          </w:p>
        </w:tc>
      </w:tr>
      <w:tr w:rsidR="00AB7370" w:rsidRPr="00915208" w:rsidTr="00E9632C">
        <w:trPr>
          <w:trHeight w:val="300"/>
        </w:trPr>
        <w:tc>
          <w:tcPr>
            <w:tcW w:w="2076" w:type="pct"/>
            <w:tcBorders>
              <w:top w:val="nil"/>
              <w:left w:val="single" w:sz="4" w:space="0" w:color="auto"/>
              <w:bottom w:val="single" w:sz="4" w:space="0" w:color="auto"/>
              <w:right w:val="single" w:sz="4" w:space="0" w:color="auto"/>
            </w:tcBorders>
            <w:shd w:val="clear" w:color="auto" w:fill="auto"/>
            <w:noWrap/>
            <w:vAlign w:val="bottom"/>
            <w:hideMark/>
          </w:tcPr>
          <w:p w:rsidR="00AB7370" w:rsidRPr="00E9632C" w:rsidRDefault="00AB7370" w:rsidP="00915208">
            <w:pPr>
              <w:rPr>
                <w:color w:val="000000"/>
                <w:sz w:val="24"/>
              </w:rPr>
            </w:pPr>
            <w:r w:rsidRPr="00E9632C">
              <w:rPr>
                <w:color w:val="000000"/>
                <w:sz w:val="24"/>
              </w:rPr>
              <w:t>African American</w:t>
            </w:r>
          </w:p>
        </w:tc>
        <w:tc>
          <w:tcPr>
            <w:tcW w:w="960" w:type="pct"/>
            <w:tcBorders>
              <w:top w:val="nil"/>
              <w:left w:val="nil"/>
              <w:bottom w:val="single" w:sz="4" w:space="0" w:color="auto"/>
              <w:right w:val="single" w:sz="4" w:space="0" w:color="auto"/>
            </w:tcBorders>
            <w:shd w:val="clear" w:color="auto" w:fill="auto"/>
            <w:noWrap/>
            <w:vAlign w:val="bottom"/>
            <w:hideMark/>
          </w:tcPr>
          <w:p w:rsidR="00AB7370" w:rsidRPr="00E9632C" w:rsidRDefault="00AB7370" w:rsidP="00915208">
            <w:pPr>
              <w:jc w:val="right"/>
              <w:rPr>
                <w:color w:val="000000"/>
                <w:sz w:val="24"/>
              </w:rPr>
            </w:pPr>
            <w:r w:rsidRPr="00E9632C">
              <w:rPr>
                <w:color w:val="000000"/>
                <w:sz w:val="24"/>
              </w:rPr>
              <w:t>58%</w:t>
            </w:r>
          </w:p>
        </w:tc>
        <w:tc>
          <w:tcPr>
            <w:tcW w:w="960" w:type="pct"/>
            <w:tcBorders>
              <w:top w:val="nil"/>
              <w:left w:val="nil"/>
              <w:bottom w:val="single" w:sz="4" w:space="0" w:color="auto"/>
              <w:right w:val="single" w:sz="4" w:space="0" w:color="auto"/>
            </w:tcBorders>
            <w:shd w:val="clear" w:color="auto" w:fill="auto"/>
            <w:noWrap/>
            <w:vAlign w:val="bottom"/>
            <w:hideMark/>
          </w:tcPr>
          <w:p w:rsidR="00AB7370" w:rsidRPr="00E9632C" w:rsidRDefault="00AB7370" w:rsidP="00915208">
            <w:pPr>
              <w:jc w:val="right"/>
              <w:rPr>
                <w:color w:val="000000"/>
                <w:sz w:val="24"/>
              </w:rPr>
            </w:pPr>
            <w:r w:rsidRPr="00E9632C">
              <w:rPr>
                <w:color w:val="000000"/>
                <w:sz w:val="24"/>
              </w:rPr>
              <w:t>29%</w:t>
            </w:r>
          </w:p>
        </w:tc>
        <w:tc>
          <w:tcPr>
            <w:tcW w:w="1004" w:type="pct"/>
            <w:tcBorders>
              <w:top w:val="nil"/>
              <w:left w:val="nil"/>
              <w:bottom w:val="single" w:sz="4" w:space="0" w:color="auto"/>
              <w:right w:val="single" w:sz="4" w:space="0" w:color="auto"/>
            </w:tcBorders>
            <w:shd w:val="clear" w:color="auto" w:fill="auto"/>
            <w:noWrap/>
            <w:vAlign w:val="bottom"/>
            <w:hideMark/>
          </w:tcPr>
          <w:p w:rsidR="00AB7370" w:rsidRPr="00E9632C" w:rsidRDefault="00AB7370" w:rsidP="00915208">
            <w:pPr>
              <w:jc w:val="right"/>
              <w:rPr>
                <w:color w:val="000000"/>
                <w:sz w:val="24"/>
              </w:rPr>
            </w:pPr>
            <w:r w:rsidRPr="00E9632C">
              <w:rPr>
                <w:color w:val="000000"/>
                <w:sz w:val="24"/>
              </w:rPr>
              <w:t>13%</w:t>
            </w:r>
          </w:p>
        </w:tc>
      </w:tr>
      <w:tr w:rsidR="00AB7370" w:rsidRPr="00915208" w:rsidTr="00E9632C">
        <w:trPr>
          <w:trHeight w:val="300"/>
        </w:trPr>
        <w:tc>
          <w:tcPr>
            <w:tcW w:w="2076" w:type="pct"/>
            <w:tcBorders>
              <w:top w:val="nil"/>
              <w:left w:val="single" w:sz="4" w:space="0" w:color="auto"/>
              <w:bottom w:val="single" w:sz="4" w:space="0" w:color="auto"/>
              <w:right w:val="single" w:sz="4" w:space="0" w:color="auto"/>
            </w:tcBorders>
            <w:shd w:val="clear" w:color="auto" w:fill="auto"/>
            <w:noWrap/>
            <w:vAlign w:val="bottom"/>
            <w:hideMark/>
          </w:tcPr>
          <w:p w:rsidR="00AB7370" w:rsidRPr="00E9632C" w:rsidRDefault="00AB7370" w:rsidP="00915208">
            <w:pPr>
              <w:rPr>
                <w:color w:val="000000"/>
                <w:sz w:val="24"/>
              </w:rPr>
            </w:pPr>
            <w:r w:rsidRPr="00E9632C">
              <w:rPr>
                <w:color w:val="000000"/>
                <w:sz w:val="24"/>
              </w:rPr>
              <w:t>Low income</w:t>
            </w:r>
          </w:p>
        </w:tc>
        <w:tc>
          <w:tcPr>
            <w:tcW w:w="960" w:type="pct"/>
            <w:tcBorders>
              <w:top w:val="nil"/>
              <w:left w:val="nil"/>
              <w:bottom w:val="single" w:sz="4" w:space="0" w:color="auto"/>
              <w:right w:val="single" w:sz="4" w:space="0" w:color="auto"/>
            </w:tcBorders>
            <w:shd w:val="clear" w:color="auto" w:fill="auto"/>
            <w:noWrap/>
            <w:vAlign w:val="bottom"/>
            <w:hideMark/>
          </w:tcPr>
          <w:p w:rsidR="00AB7370" w:rsidRPr="00E9632C" w:rsidRDefault="00AB7370" w:rsidP="00915208">
            <w:pPr>
              <w:jc w:val="right"/>
              <w:rPr>
                <w:color w:val="000000"/>
                <w:sz w:val="24"/>
              </w:rPr>
            </w:pPr>
            <w:r w:rsidRPr="00E9632C">
              <w:rPr>
                <w:color w:val="000000"/>
                <w:sz w:val="24"/>
              </w:rPr>
              <w:t>54%</w:t>
            </w:r>
          </w:p>
        </w:tc>
        <w:tc>
          <w:tcPr>
            <w:tcW w:w="960" w:type="pct"/>
            <w:tcBorders>
              <w:top w:val="nil"/>
              <w:left w:val="nil"/>
              <w:bottom w:val="single" w:sz="4" w:space="0" w:color="auto"/>
              <w:right w:val="single" w:sz="4" w:space="0" w:color="auto"/>
            </w:tcBorders>
            <w:shd w:val="clear" w:color="auto" w:fill="auto"/>
            <w:noWrap/>
            <w:vAlign w:val="bottom"/>
            <w:hideMark/>
          </w:tcPr>
          <w:p w:rsidR="00AB7370" w:rsidRPr="00E9632C" w:rsidRDefault="00AB7370" w:rsidP="00915208">
            <w:pPr>
              <w:jc w:val="right"/>
              <w:rPr>
                <w:color w:val="000000"/>
                <w:sz w:val="24"/>
              </w:rPr>
            </w:pPr>
            <w:r w:rsidRPr="00E9632C">
              <w:rPr>
                <w:color w:val="000000"/>
                <w:sz w:val="24"/>
              </w:rPr>
              <w:t>31%</w:t>
            </w:r>
          </w:p>
        </w:tc>
        <w:tc>
          <w:tcPr>
            <w:tcW w:w="1004" w:type="pct"/>
            <w:tcBorders>
              <w:top w:val="nil"/>
              <w:left w:val="nil"/>
              <w:bottom w:val="single" w:sz="4" w:space="0" w:color="auto"/>
              <w:right w:val="single" w:sz="4" w:space="0" w:color="auto"/>
            </w:tcBorders>
            <w:shd w:val="clear" w:color="auto" w:fill="auto"/>
            <w:noWrap/>
            <w:vAlign w:val="bottom"/>
            <w:hideMark/>
          </w:tcPr>
          <w:p w:rsidR="00AB7370" w:rsidRPr="00E9632C" w:rsidRDefault="00AB7370" w:rsidP="00915208">
            <w:pPr>
              <w:jc w:val="right"/>
              <w:rPr>
                <w:color w:val="000000"/>
                <w:sz w:val="24"/>
              </w:rPr>
            </w:pPr>
            <w:r w:rsidRPr="00E9632C">
              <w:rPr>
                <w:color w:val="000000"/>
                <w:sz w:val="24"/>
              </w:rPr>
              <w:t>15%</w:t>
            </w:r>
          </w:p>
        </w:tc>
      </w:tr>
      <w:tr w:rsidR="00AB7370" w:rsidRPr="00915208" w:rsidTr="00E9632C">
        <w:trPr>
          <w:trHeight w:val="300"/>
        </w:trPr>
        <w:tc>
          <w:tcPr>
            <w:tcW w:w="2076" w:type="pct"/>
            <w:tcBorders>
              <w:top w:val="nil"/>
              <w:left w:val="single" w:sz="4" w:space="0" w:color="auto"/>
              <w:bottom w:val="single" w:sz="4" w:space="0" w:color="auto"/>
              <w:right w:val="single" w:sz="4" w:space="0" w:color="auto"/>
            </w:tcBorders>
            <w:shd w:val="clear" w:color="000000" w:fill="FDE9D9"/>
            <w:noWrap/>
            <w:vAlign w:val="bottom"/>
            <w:hideMark/>
          </w:tcPr>
          <w:p w:rsidR="00AB7370" w:rsidRPr="00E9632C" w:rsidRDefault="00AB7370" w:rsidP="00915208">
            <w:pPr>
              <w:rPr>
                <w:color w:val="000000"/>
                <w:sz w:val="24"/>
              </w:rPr>
            </w:pPr>
            <w:r w:rsidRPr="00E9632C">
              <w:rPr>
                <w:color w:val="000000"/>
                <w:sz w:val="24"/>
              </w:rPr>
              <w:t>Overall (CO)</w:t>
            </w:r>
          </w:p>
        </w:tc>
        <w:tc>
          <w:tcPr>
            <w:tcW w:w="960" w:type="pct"/>
            <w:tcBorders>
              <w:top w:val="nil"/>
              <w:left w:val="nil"/>
              <w:bottom w:val="single" w:sz="4" w:space="0" w:color="auto"/>
              <w:right w:val="single" w:sz="4" w:space="0" w:color="auto"/>
            </w:tcBorders>
            <w:shd w:val="clear" w:color="000000" w:fill="FDE9D9"/>
            <w:noWrap/>
            <w:vAlign w:val="bottom"/>
            <w:hideMark/>
          </w:tcPr>
          <w:p w:rsidR="00AB7370" w:rsidRPr="00E9632C" w:rsidRDefault="00AB7370" w:rsidP="00915208">
            <w:pPr>
              <w:jc w:val="right"/>
              <w:rPr>
                <w:color w:val="000000"/>
                <w:sz w:val="24"/>
              </w:rPr>
            </w:pPr>
            <w:r w:rsidRPr="00E9632C">
              <w:rPr>
                <w:color w:val="000000"/>
                <w:sz w:val="24"/>
              </w:rPr>
              <w:t>45%</w:t>
            </w:r>
          </w:p>
        </w:tc>
        <w:tc>
          <w:tcPr>
            <w:tcW w:w="960" w:type="pct"/>
            <w:tcBorders>
              <w:top w:val="nil"/>
              <w:left w:val="nil"/>
              <w:bottom w:val="single" w:sz="4" w:space="0" w:color="auto"/>
              <w:right w:val="single" w:sz="4" w:space="0" w:color="auto"/>
            </w:tcBorders>
            <w:shd w:val="clear" w:color="000000" w:fill="FDE9D9"/>
            <w:noWrap/>
            <w:vAlign w:val="bottom"/>
            <w:hideMark/>
          </w:tcPr>
          <w:p w:rsidR="00AB7370" w:rsidRPr="00E9632C" w:rsidRDefault="00AB7370" w:rsidP="00915208">
            <w:pPr>
              <w:jc w:val="right"/>
              <w:rPr>
                <w:color w:val="000000"/>
                <w:sz w:val="24"/>
              </w:rPr>
            </w:pPr>
            <w:r w:rsidRPr="00E9632C">
              <w:rPr>
                <w:color w:val="000000"/>
                <w:sz w:val="24"/>
              </w:rPr>
              <w:t>34%</w:t>
            </w:r>
          </w:p>
        </w:tc>
        <w:tc>
          <w:tcPr>
            <w:tcW w:w="1004" w:type="pct"/>
            <w:tcBorders>
              <w:top w:val="nil"/>
              <w:left w:val="nil"/>
              <w:bottom w:val="single" w:sz="4" w:space="0" w:color="auto"/>
              <w:right w:val="single" w:sz="4" w:space="0" w:color="auto"/>
            </w:tcBorders>
            <w:shd w:val="clear" w:color="000000" w:fill="FDE9D9"/>
            <w:noWrap/>
            <w:vAlign w:val="bottom"/>
            <w:hideMark/>
          </w:tcPr>
          <w:p w:rsidR="00AB7370" w:rsidRPr="00E9632C" w:rsidRDefault="00AB7370" w:rsidP="00915208">
            <w:pPr>
              <w:jc w:val="right"/>
              <w:rPr>
                <w:color w:val="000000"/>
                <w:sz w:val="24"/>
              </w:rPr>
            </w:pPr>
            <w:r w:rsidRPr="00E9632C">
              <w:rPr>
                <w:color w:val="000000"/>
                <w:sz w:val="24"/>
              </w:rPr>
              <w:t>22%</w:t>
            </w:r>
          </w:p>
        </w:tc>
      </w:tr>
    </w:tbl>
    <w:p w:rsidR="006B01F8" w:rsidRDefault="006B01F8" w:rsidP="006D48D7">
      <w:pPr>
        <w:jc w:val="both"/>
        <w:outlineLvl w:val="0"/>
        <w:rPr>
          <w:i/>
          <w:sz w:val="24"/>
        </w:rPr>
      </w:pPr>
    </w:p>
    <w:p w:rsidR="006B01F8" w:rsidRDefault="0040511B" w:rsidP="006D48D7">
      <w:pPr>
        <w:jc w:val="both"/>
        <w:outlineLvl w:val="0"/>
        <w:rPr>
          <w:sz w:val="24"/>
        </w:rPr>
      </w:pPr>
      <w:r>
        <w:rPr>
          <w:sz w:val="24"/>
        </w:rPr>
        <w:t>It is important to note that students’ of color and low income students’ pass rates for scores of 4 and 5 are lower than the overall pass rates for all Colorado students combined.</w:t>
      </w:r>
      <w:r w:rsidR="00BA14EA">
        <w:rPr>
          <w:sz w:val="24"/>
        </w:rPr>
        <w:t xml:space="preserve"> This means that where AP scores are set higher than necessary, it adversely affects students of color and low income students more than it does white and wealthier students.</w:t>
      </w:r>
    </w:p>
    <w:p w:rsidR="00BA14EA" w:rsidRPr="0040511B" w:rsidRDefault="00BA14EA" w:rsidP="006D48D7">
      <w:pPr>
        <w:jc w:val="both"/>
        <w:outlineLvl w:val="0"/>
        <w:rPr>
          <w:sz w:val="24"/>
        </w:rPr>
      </w:pPr>
    </w:p>
    <w:p w:rsidR="006B01F8" w:rsidRDefault="006B01F8" w:rsidP="006B01F8">
      <w:pPr>
        <w:autoSpaceDE w:val="0"/>
        <w:autoSpaceDN w:val="0"/>
        <w:adjustRightInd w:val="0"/>
        <w:jc w:val="both"/>
        <w:rPr>
          <w:sz w:val="24"/>
        </w:rPr>
      </w:pPr>
      <w:r w:rsidRPr="00FD0F6A">
        <w:rPr>
          <w:i/>
          <w:sz w:val="24"/>
        </w:rPr>
        <w:t>National Research</w:t>
      </w:r>
      <w:r>
        <w:rPr>
          <w:i/>
          <w:sz w:val="24"/>
        </w:rPr>
        <w:t>: CLEP</w:t>
      </w:r>
    </w:p>
    <w:p w:rsidR="006B01F8" w:rsidRDefault="006B01F8" w:rsidP="006B01F8">
      <w:pPr>
        <w:autoSpaceDE w:val="0"/>
        <w:autoSpaceDN w:val="0"/>
        <w:adjustRightInd w:val="0"/>
        <w:jc w:val="both"/>
        <w:rPr>
          <w:sz w:val="24"/>
        </w:rPr>
      </w:pPr>
    </w:p>
    <w:p w:rsidR="006B01F8" w:rsidRDefault="00244DB6" w:rsidP="006B01F8">
      <w:pPr>
        <w:autoSpaceDE w:val="0"/>
        <w:autoSpaceDN w:val="0"/>
        <w:adjustRightInd w:val="0"/>
        <w:jc w:val="both"/>
        <w:rPr>
          <w:i/>
          <w:sz w:val="24"/>
        </w:rPr>
      </w:pPr>
      <w:hyperlink r:id="rId14" w:history="1">
        <w:r w:rsidR="006B01F8" w:rsidRPr="006245CA">
          <w:rPr>
            <w:rStyle w:val="Hyperlink"/>
            <w:sz w:val="24"/>
          </w:rPr>
          <w:t>College Board</w:t>
        </w:r>
      </w:hyperlink>
      <w:r w:rsidR="006B01F8">
        <w:rPr>
          <w:rStyle w:val="purpleheader1"/>
          <w:rFonts w:ascii="Times New Roman" w:hAnsi="Times New Roman"/>
          <w:color w:val="auto"/>
          <w:sz w:val="24"/>
          <w:szCs w:val="24"/>
        </w:rPr>
        <w:t xml:space="preserve"> (2005), </w:t>
      </w:r>
      <w:r w:rsidR="006B01F8" w:rsidRPr="006245CA">
        <w:rPr>
          <w:rStyle w:val="purpleheader1"/>
          <w:rFonts w:ascii="Times New Roman" w:hAnsi="Times New Roman"/>
          <w:color w:val="auto"/>
          <w:sz w:val="24"/>
          <w:szCs w:val="24"/>
        </w:rPr>
        <w:t xml:space="preserve">which </w:t>
      </w:r>
      <w:r w:rsidR="006B01F8">
        <w:rPr>
          <w:rStyle w:val="purpleheader1"/>
          <w:rFonts w:ascii="Times New Roman" w:hAnsi="Times New Roman"/>
          <w:color w:val="auto"/>
          <w:sz w:val="24"/>
          <w:szCs w:val="24"/>
        </w:rPr>
        <w:t xml:space="preserve">also </w:t>
      </w:r>
      <w:r w:rsidR="006B01F8" w:rsidRPr="006245CA">
        <w:rPr>
          <w:rStyle w:val="purpleheader1"/>
          <w:rFonts w:ascii="Times New Roman" w:hAnsi="Times New Roman"/>
          <w:color w:val="auto"/>
          <w:sz w:val="24"/>
          <w:szCs w:val="24"/>
        </w:rPr>
        <w:t xml:space="preserve">administers the </w:t>
      </w:r>
      <w:r w:rsidR="006B01F8" w:rsidRPr="00E64900">
        <w:rPr>
          <w:rStyle w:val="Strong"/>
          <w:b w:val="0"/>
          <w:sz w:val="24"/>
        </w:rPr>
        <w:t>College Level Examination Program</w:t>
      </w:r>
    </w:p>
    <w:p w:rsidR="006B01F8" w:rsidRDefault="006B01F8" w:rsidP="006B01F8">
      <w:pPr>
        <w:jc w:val="both"/>
        <w:outlineLvl w:val="0"/>
        <w:rPr>
          <w:rStyle w:val="purpleheader1"/>
          <w:rFonts w:ascii="Times New Roman" w:hAnsi="Times New Roman"/>
          <w:color w:val="auto"/>
          <w:sz w:val="24"/>
          <w:szCs w:val="24"/>
        </w:rPr>
      </w:pPr>
      <w:r>
        <w:rPr>
          <w:rStyle w:val="purpleheader1"/>
          <w:rFonts w:ascii="Times New Roman" w:hAnsi="Times New Roman"/>
          <w:color w:val="auto"/>
          <w:sz w:val="24"/>
          <w:szCs w:val="24"/>
        </w:rPr>
        <w:t>(</w:t>
      </w:r>
      <w:r w:rsidRPr="006245CA">
        <w:rPr>
          <w:rStyle w:val="purpleheader1"/>
          <w:rFonts w:ascii="Times New Roman" w:hAnsi="Times New Roman"/>
          <w:color w:val="auto"/>
          <w:sz w:val="24"/>
          <w:szCs w:val="24"/>
        </w:rPr>
        <w:t>CLEP</w:t>
      </w:r>
      <w:r>
        <w:rPr>
          <w:rStyle w:val="purpleheader1"/>
          <w:rFonts w:ascii="Times New Roman" w:hAnsi="Times New Roman"/>
          <w:color w:val="auto"/>
          <w:sz w:val="24"/>
          <w:szCs w:val="24"/>
        </w:rPr>
        <w:t>)</w:t>
      </w:r>
      <w:r w:rsidRPr="006245CA">
        <w:rPr>
          <w:rStyle w:val="purpleheader1"/>
          <w:rFonts w:ascii="Times New Roman" w:hAnsi="Times New Roman"/>
          <w:color w:val="auto"/>
          <w:sz w:val="24"/>
          <w:szCs w:val="24"/>
        </w:rPr>
        <w:t xml:space="preserve"> exam program, </w:t>
      </w:r>
      <w:r>
        <w:rPr>
          <w:rStyle w:val="purpleheader1"/>
          <w:rFonts w:ascii="Times New Roman" w:hAnsi="Times New Roman"/>
          <w:color w:val="auto"/>
          <w:sz w:val="24"/>
          <w:szCs w:val="24"/>
        </w:rPr>
        <w:t>surveyed 3,365 students who earned CLEP credit between July 2003 and June 2004. They found:</w:t>
      </w:r>
    </w:p>
    <w:p w:rsidR="006B01F8" w:rsidRDefault="006B01F8" w:rsidP="006B01F8">
      <w:pPr>
        <w:jc w:val="both"/>
        <w:outlineLvl w:val="0"/>
        <w:rPr>
          <w:rStyle w:val="purpleheader1"/>
          <w:rFonts w:ascii="Times New Roman" w:hAnsi="Times New Roman"/>
          <w:color w:val="auto"/>
          <w:sz w:val="24"/>
          <w:szCs w:val="24"/>
        </w:rPr>
      </w:pPr>
    </w:p>
    <w:p w:rsidR="006B01F8" w:rsidRPr="00F21BB6" w:rsidRDefault="006B01F8" w:rsidP="006B01F8">
      <w:pPr>
        <w:pStyle w:val="ListParagraph"/>
        <w:numPr>
          <w:ilvl w:val="0"/>
          <w:numId w:val="20"/>
        </w:numPr>
        <w:jc w:val="both"/>
        <w:outlineLvl w:val="0"/>
        <w:rPr>
          <w:rFonts w:ascii="Times New Roman" w:hAnsi="Times New Roman"/>
          <w:sz w:val="24"/>
          <w:szCs w:val="24"/>
        </w:rPr>
      </w:pPr>
      <w:r w:rsidRPr="00F21BB6">
        <w:rPr>
          <w:rStyle w:val="purpleheader1"/>
          <w:rFonts w:ascii="Times New Roman" w:hAnsi="Times New Roman"/>
          <w:color w:val="auto"/>
          <w:sz w:val="24"/>
          <w:szCs w:val="24"/>
        </w:rPr>
        <w:t>70%</w:t>
      </w:r>
      <w:r w:rsidRPr="00F21BB6">
        <w:rPr>
          <w:rFonts w:ascii="Times New Roman" w:hAnsi="Times New Roman"/>
          <w:sz w:val="24"/>
          <w:szCs w:val="24"/>
        </w:rPr>
        <w:t xml:space="preserve"> said their CLEP credits made a difference in their ability to finance tuition and other fees;</w:t>
      </w:r>
    </w:p>
    <w:p w:rsidR="006B01F8" w:rsidRPr="00F21BB6" w:rsidRDefault="006B01F8" w:rsidP="006B01F8">
      <w:pPr>
        <w:pStyle w:val="ListParagraph"/>
        <w:numPr>
          <w:ilvl w:val="0"/>
          <w:numId w:val="20"/>
        </w:numPr>
        <w:jc w:val="both"/>
        <w:outlineLvl w:val="0"/>
        <w:rPr>
          <w:rFonts w:ascii="Times New Roman" w:hAnsi="Times New Roman"/>
          <w:sz w:val="24"/>
          <w:szCs w:val="24"/>
        </w:rPr>
      </w:pPr>
      <w:r w:rsidRPr="00F21BB6">
        <w:rPr>
          <w:rFonts w:ascii="Times New Roman" w:hAnsi="Times New Roman"/>
          <w:sz w:val="24"/>
          <w:szCs w:val="24"/>
        </w:rPr>
        <w:t>91% said CLEP made a difference in helping them complete their degrees;</w:t>
      </w:r>
    </w:p>
    <w:p w:rsidR="006B01F8" w:rsidRPr="00F21BB6" w:rsidRDefault="006B01F8" w:rsidP="006B01F8">
      <w:pPr>
        <w:pStyle w:val="ListParagraph"/>
        <w:numPr>
          <w:ilvl w:val="0"/>
          <w:numId w:val="20"/>
        </w:numPr>
        <w:jc w:val="both"/>
        <w:outlineLvl w:val="0"/>
        <w:rPr>
          <w:rFonts w:ascii="Times New Roman" w:hAnsi="Times New Roman"/>
          <w:sz w:val="24"/>
          <w:szCs w:val="24"/>
        </w:rPr>
      </w:pPr>
      <w:r w:rsidRPr="00F21BB6">
        <w:rPr>
          <w:rFonts w:ascii="Times New Roman" w:hAnsi="Times New Roman"/>
          <w:sz w:val="24"/>
          <w:szCs w:val="24"/>
        </w:rPr>
        <w:lastRenderedPageBreak/>
        <w:t xml:space="preserve">47% said their CLEP credits made a difference in their decision to enroll/remain at the institution; and </w:t>
      </w:r>
    </w:p>
    <w:p w:rsidR="006B01F8" w:rsidRPr="00F21BB6" w:rsidRDefault="006B01F8" w:rsidP="006B01F8">
      <w:pPr>
        <w:pStyle w:val="ListParagraph"/>
        <w:numPr>
          <w:ilvl w:val="0"/>
          <w:numId w:val="20"/>
        </w:numPr>
        <w:jc w:val="both"/>
        <w:outlineLvl w:val="0"/>
        <w:rPr>
          <w:rFonts w:ascii="Times New Roman" w:hAnsi="Times New Roman"/>
          <w:sz w:val="24"/>
          <w:szCs w:val="24"/>
        </w:rPr>
      </w:pPr>
      <w:r w:rsidRPr="00F21BB6">
        <w:rPr>
          <w:rFonts w:ascii="Times New Roman" w:hAnsi="Times New Roman"/>
          <w:sz w:val="24"/>
          <w:szCs w:val="24"/>
        </w:rPr>
        <w:t xml:space="preserve">62% said the institutions’ policy to accept CLEP credit or not </w:t>
      </w:r>
      <w:r w:rsidRPr="00F21BB6">
        <w:rPr>
          <w:rFonts w:ascii="Times New Roman" w:hAnsi="Times New Roman"/>
          <w:bCs/>
          <w:color w:val="000000"/>
          <w:sz w:val="24"/>
          <w:szCs w:val="24"/>
        </w:rPr>
        <w:t>would affect thei</w:t>
      </w:r>
      <w:r w:rsidRPr="00155860">
        <w:rPr>
          <w:rFonts w:ascii="Times New Roman" w:hAnsi="Times New Roman"/>
          <w:bCs/>
          <w:color w:val="000000"/>
          <w:sz w:val="24"/>
          <w:szCs w:val="24"/>
        </w:rPr>
        <w:t>r decision to apply/enroll</w:t>
      </w:r>
      <w:r w:rsidRPr="00F21BB6">
        <w:rPr>
          <w:rFonts w:ascii="Times New Roman" w:hAnsi="Times New Roman"/>
          <w:bCs/>
          <w:color w:val="000000"/>
          <w:sz w:val="24"/>
          <w:szCs w:val="24"/>
        </w:rPr>
        <w:t xml:space="preserve"> at the institution.</w:t>
      </w:r>
    </w:p>
    <w:p w:rsidR="006B01F8" w:rsidRDefault="006B01F8" w:rsidP="006B01F8">
      <w:pPr>
        <w:jc w:val="both"/>
        <w:outlineLvl w:val="0"/>
        <w:rPr>
          <w:sz w:val="24"/>
        </w:rPr>
      </w:pPr>
      <w:r>
        <w:rPr>
          <w:sz w:val="24"/>
        </w:rPr>
        <w:t>Barry (2013), for College Board, identified 13,256 students who obtained a degree and took at least one CLEP exam. Barry found that CLEP students, compared to other students:</w:t>
      </w:r>
    </w:p>
    <w:p w:rsidR="006B01F8" w:rsidRPr="00A84116" w:rsidRDefault="006B01F8" w:rsidP="006B01F8">
      <w:pPr>
        <w:jc w:val="both"/>
        <w:outlineLvl w:val="0"/>
        <w:rPr>
          <w:sz w:val="24"/>
        </w:rPr>
      </w:pPr>
    </w:p>
    <w:p w:rsidR="006B01F8" w:rsidRPr="00A84116" w:rsidRDefault="006B01F8" w:rsidP="006B01F8">
      <w:pPr>
        <w:pStyle w:val="ListParagraph"/>
        <w:numPr>
          <w:ilvl w:val="0"/>
          <w:numId w:val="21"/>
        </w:numPr>
        <w:jc w:val="both"/>
        <w:outlineLvl w:val="0"/>
        <w:rPr>
          <w:rFonts w:ascii="Times New Roman" w:hAnsi="Times New Roman"/>
          <w:sz w:val="24"/>
        </w:rPr>
      </w:pPr>
      <w:r>
        <w:rPr>
          <w:rFonts w:ascii="Times New Roman" w:hAnsi="Times New Roman"/>
          <w:sz w:val="24"/>
        </w:rPr>
        <w:t>graduated</w:t>
      </w:r>
      <w:r w:rsidRPr="00A84116">
        <w:rPr>
          <w:rFonts w:ascii="Times New Roman" w:hAnsi="Times New Roman"/>
          <w:sz w:val="24"/>
        </w:rPr>
        <w:t xml:space="preserve"> nearly one semester earlier, enrolled in fewer semesters, graduated with approximately 1.5 fewer credits, and have GPAs approximately 0.15 points higher than non-CLEP students (pg. 9);</w:t>
      </w:r>
    </w:p>
    <w:p w:rsidR="006B01F8" w:rsidRPr="00A84116" w:rsidRDefault="006B01F8" w:rsidP="006B01F8">
      <w:pPr>
        <w:pStyle w:val="ListParagraph"/>
        <w:numPr>
          <w:ilvl w:val="0"/>
          <w:numId w:val="21"/>
        </w:numPr>
        <w:jc w:val="both"/>
        <w:outlineLvl w:val="0"/>
        <w:rPr>
          <w:rFonts w:ascii="Times New Roman" w:hAnsi="Times New Roman"/>
          <w:sz w:val="24"/>
        </w:rPr>
      </w:pPr>
      <w:r>
        <w:rPr>
          <w:rFonts w:ascii="Times New Roman" w:hAnsi="Times New Roman"/>
          <w:sz w:val="24"/>
        </w:rPr>
        <w:t>t</w:t>
      </w:r>
      <w:r w:rsidRPr="00A84116">
        <w:rPr>
          <w:rFonts w:ascii="Times New Roman" w:hAnsi="Times New Roman"/>
          <w:sz w:val="24"/>
        </w:rPr>
        <w:t xml:space="preserve">hese differences were more pronounced for A.A. students than for B.A. students (pg. 10); </w:t>
      </w:r>
    </w:p>
    <w:p w:rsidR="006B01F8" w:rsidRPr="00A84116" w:rsidRDefault="006B01F8" w:rsidP="006B01F8">
      <w:pPr>
        <w:pStyle w:val="ListParagraph"/>
        <w:numPr>
          <w:ilvl w:val="0"/>
          <w:numId w:val="21"/>
        </w:numPr>
        <w:jc w:val="both"/>
        <w:outlineLvl w:val="0"/>
        <w:rPr>
          <w:rFonts w:ascii="Times New Roman" w:hAnsi="Times New Roman"/>
          <w:sz w:val="24"/>
        </w:rPr>
      </w:pPr>
      <w:r>
        <w:rPr>
          <w:rFonts w:ascii="Times New Roman" w:hAnsi="Times New Roman"/>
          <w:sz w:val="24"/>
        </w:rPr>
        <w:t>there</w:t>
      </w:r>
      <w:r w:rsidRPr="00A84116">
        <w:rPr>
          <w:rFonts w:ascii="Times New Roman" w:hAnsi="Times New Roman"/>
          <w:sz w:val="24"/>
        </w:rPr>
        <w:t xml:space="preserve"> was no significant difference between CLEP and non-CLEP student</w:t>
      </w:r>
      <w:r w:rsidR="00450AD5">
        <w:rPr>
          <w:rFonts w:ascii="Times New Roman" w:hAnsi="Times New Roman"/>
          <w:sz w:val="24"/>
        </w:rPr>
        <w:t>s</w:t>
      </w:r>
      <w:r w:rsidRPr="00A84116">
        <w:rPr>
          <w:rFonts w:ascii="Times New Roman" w:hAnsi="Times New Roman"/>
          <w:sz w:val="24"/>
        </w:rPr>
        <w:t xml:space="preserve"> on subsequent math GPA (pg. 13); and</w:t>
      </w:r>
    </w:p>
    <w:p w:rsidR="006B01F8" w:rsidRDefault="006B01F8" w:rsidP="006B01F8">
      <w:pPr>
        <w:pStyle w:val="ListParagraph"/>
        <w:numPr>
          <w:ilvl w:val="0"/>
          <w:numId w:val="21"/>
        </w:numPr>
        <w:jc w:val="both"/>
        <w:outlineLvl w:val="0"/>
        <w:rPr>
          <w:rFonts w:ascii="Times New Roman" w:hAnsi="Times New Roman"/>
          <w:sz w:val="24"/>
        </w:rPr>
      </w:pPr>
      <w:r w:rsidRPr="00A84116">
        <w:rPr>
          <w:rFonts w:ascii="Times New Roman" w:hAnsi="Times New Roman"/>
          <w:sz w:val="24"/>
        </w:rPr>
        <w:t>CLEP students had subsequent English course GPAs that were approximately 0.18 points higher than non-CLEP students (p. 13).</w:t>
      </w:r>
    </w:p>
    <w:p w:rsidR="006B01F8" w:rsidRDefault="006B01F8" w:rsidP="006B01F8">
      <w:pPr>
        <w:pStyle w:val="ListParagraph"/>
        <w:ind w:left="0"/>
        <w:jc w:val="both"/>
        <w:outlineLvl w:val="0"/>
        <w:rPr>
          <w:rFonts w:ascii="Times New Roman" w:hAnsi="Times New Roman"/>
          <w:sz w:val="24"/>
        </w:rPr>
      </w:pPr>
    </w:p>
    <w:p w:rsidR="006B01F8" w:rsidRPr="00A84116" w:rsidRDefault="006B01F8" w:rsidP="006B01F8">
      <w:pPr>
        <w:pStyle w:val="ListParagraph"/>
        <w:spacing w:line="240" w:lineRule="auto"/>
        <w:ind w:left="0"/>
        <w:jc w:val="both"/>
        <w:outlineLvl w:val="0"/>
        <w:rPr>
          <w:rFonts w:ascii="Times New Roman" w:hAnsi="Times New Roman"/>
          <w:sz w:val="24"/>
        </w:rPr>
      </w:pPr>
      <w:r>
        <w:rPr>
          <w:rFonts w:ascii="Times New Roman" w:hAnsi="Times New Roman"/>
          <w:sz w:val="24"/>
        </w:rPr>
        <w:t xml:space="preserve">These findings are especially important for community college students because the research showed that the differences were more pronounced for them than for B.A. students. While B.A. students also benefited from CLEP, the salient point for four-year institutions is that they </w:t>
      </w:r>
      <w:r w:rsidR="00277010">
        <w:rPr>
          <w:rFonts w:ascii="Times New Roman" w:hAnsi="Times New Roman"/>
          <w:sz w:val="24"/>
        </w:rPr>
        <w:t xml:space="preserve">should </w:t>
      </w:r>
      <w:r>
        <w:rPr>
          <w:rFonts w:ascii="Times New Roman" w:hAnsi="Times New Roman"/>
          <w:sz w:val="24"/>
        </w:rPr>
        <w:t>guarantee the transfer and application of CLEP credit for the community college students they receive in transfer.</w:t>
      </w:r>
    </w:p>
    <w:p w:rsidR="006B01F8" w:rsidRDefault="006B01F8" w:rsidP="006D48D7">
      <w:pPr>
        <w:jc w:val="both"/>
        <w:outlineLvl w:val="0"/>
        <w:rPr>
          <w:i/>
          <w:sz w:val="24"/>
        </w:rPr>
      </w:pPr>
    </w:p>
    <w:p w:rsidR="006D48D7" w:rsidRPr="00FD0F6A" w:rsidRDefault="006D48D7" w:rsidP="006D48D7">
      <w:pPr>
        <w:jc w:val="both"/>
        <w:outlineLvl w:val="0"/>
        <w:rPr>
          <w:i/>
          <w:sz w:val="24"/>
        </w:rPr>
      </w:pPr>
      <w:r w:rsidRPr="00FD0F6A">
        <w:rPr>
          <w:i/>
          <w:sz w:val="24"/>
        </w:rPr>
        <w:t>National Research</w:t>
      </w:r>
      <w:r>
        <w:rPr>
          <w:i/>
          <w:sz w:val="24"/>
        </w:rPr>
        <w:t xml:space="preserve">: </w:t>
      </w:r>
      <w:r w:rsidRPr="006245CA">
        <w:rPr>
          <w:i/>
          <w:sz w:val="24"/>
        </w:rPr>
        <w:t>Council for Adult &amp; Experiential Learning</w:t>
      </w:r>
    </w:p>
    <w:p w:rsidR="006D48D7" w:rsidRDefault="006D48D7" w:rsidP="006D48D7">
      <w:pPr>
        <w:jc w:val="both"/>
        <w:outlineLvl w:val="0"/>
        <w:rPr>
          <w:sz w:val="24"/>
        </w:rPr>
      </w:pPr>
    </w:p>
    <w:p w:rsidR="006D48D7" w:rsidRDefault="006D48D7" w:rsidP="006D48D7">
      <w:pPr>
        <w:jc w:val="both"/>
        <w:outlineLvl w:val="0"/>
        <w:rPr>
          <w:sz w:val="24"/>
        </w:rPr>
      </w:pPr>
      <w:r>
        <w:rPr>
          <w:sz w:val="24"/>
        </w:rPr>
        <w:t>The Council for Adult &amp; Experiential Learning (CAEL, 2010) analyzed data on 62,475 students at 48 institutions of higher education and concluded “…</w:t>
      </w:r>
      <w:proofErr w:type="gramStart"/>
      <w:r>
        <w:rPr>
          <w:sz w:val="24"/>
        </w:rPr>
        <w:t>that PLA students</w:t>
      </w:r>
      <w:proofErr w:type="gramEnd"/>
      <w:r>
        <w:rPr>
          <w:sz w:val="24"/>
        </w:rPr>
        <w:t xml:space="preserve"> had better academic outcomes, particularly in terms of graduation rates and persistence, than other adult students</w:t>
      </w:r>
      <w:r w:rsidR="00C60111">
        <w:rPr>
          <w:sz w:val="24"/>
        </w:rPr>
        <w:t xml:space="preserve"> (these results were confirmed by </w:t>
      </w:r>
      <w:r w:rsidR="00C60111" w:rsidRPr="00C60111">
        <w:rPr>
          <w:sz w:val="24"/>
        </w:rPr>
        <w:t>Hayward and Williams in 2015).</w:t>
      </w:r>
      <w:r w:rsidR="00C60111">
        <w:rPr>
          <w:rFonts w:ascii="Trebuchet MS" w:hAnsi="Trebuchet MS" w:cs="Trebuchet MS"/>
          <w:sz w:val="20"/>
          <w:szCs w:val="20"/>
        </w:rPr>
        <w:t xml:space="preserve"> </w:t>
      </w:r>
      <w:r>
        <w:rPr>
          <w:sz w:val="24"/>
        </w:rPr>
        <w:t>Many PLA students also shortened the time required to earn a degree, depending on the number of PLA credits earned” (p. 7). Types of PLA included in this study were CLEP, DSST and Excelsior exams; ACE-evaluated corporate and military training; institutionally-evaluat</w:t>
      </w:r>
      <w:r w:rsidR="00BA14EA">
        <w:rPr>
          <w:sz w:val="24"/>
        </w:rPr>
        <w:t>ed training programs; challenge</w:t>
      </w:r>
      <w:r>
        <w:rPr>
          <w:sz w:val="24"/>
        </w:rPr>
        <w:t xml:space="preserve"> or “test out” exams; and portfolio assessments. Briefly, it reported the following:</w:t>
      </w:r>
    </w:p>
    <w:p w:rsidR="006D48D7" w:rsidRDefault="006D48D7" w:rsidP="006D48D7">
      <w:pPr>
        <w:autoSpaceDE w:val="0"/>
        <w:autoSpaceDN w:val="0"/>
        <w:adjustRightInd w:val="0"/>
        <w:rPr>
          <w:sz w:val="24"/>
        </w:rPr>
      </w:pPr>
    </w:p>
    <w:p w:rsidR="006D48D7" w:rsidRPr="003774DD" w:rsidRDefault="006D48D7" w:rsidP="006D48D7">
      <w:pPr>
        <w:autoSpaceDE w:val="0"/>
        <w:autoSpaceDN w:val="0"/>
        <w:adjustRightInd w:val="0"/>
        <w:rPr>
          <w:sz w:val="24"/>
        </w:rPr>
      </w:pPr>
      <w:r w:rsidRPr="003774DD">
        <w:rPr>
          <w:sz w:val="24"/>
        </w:rPr>
        <w:t xml:space="preserve">Graduation Rates: </w:t>
      </w:r>
    </w:p>
    <w:p w:rsidR="006D48D7" w:rsidRPr="003774DD" w:rsidRDefault="006D48D7" w:rsidP="006D48D7">
      <w:pPr>
        <w:pStyle w:val="ListParagraph"/>
        <w:numPr>
          <w:ilvl w:val="0"/>
          <w:numId w:val="8"/>
        </w:numPr>
        <w:autoSpaceDE w:val="0"/>
        <w:autoSpaceDN w:val="0"/>
        <w:adjustRightInd w:val="0"/>
        <w:spacing w:after="120" w:line="240" w:lineRule="auto"/>
        <w:contextualSpacing w:val="0"/>
        <w:rPr>
          <w:rFonts w:ascii="Times New Roman" w:hAnsi="Times New Roman"/>
          <w:sz w:val="24"/>
          <w:szCs w:val="24"/>
        </w:rPr>
      </w:pPr>
      <w:r w:rsidRPr="003774DD">
        <w:rPr>
          <w:rFonts w:ascii="Times New Roman" w:hAnsi="Times New Roman"/>
          <w:sz w:val="24"/>
          <w:szCs w:val="24"/>
        </w:rPr>
        <w:t xml:space="preserve">“43 percent of PLA students earned a bachelor’s degree, compared to only 15 percent of non-PLA students;” and </w:t>
      </w:r>
    </w:p>
    <w:p w:rsidR="006D48D7" w:rsidRPr="003774DD" w:rsidRDefault="006D48D7" w:rsidP="006D48D7">
      <w:pPr>
        <w:pStyle w:val="ListParagraph"/>
        <w:numPr>
          <w:ilvl w:val="0"/>
          <w:numId w:val="8"/>
        </w:numPr>
        <w:autoSpaceDE w:val="0"/>
        <w:autoSpaceDN w:val="0"/>
        <w:adjustRightInd w:val="0"/>
        <w:spacing w:after="120" w:line="240" w:lineRule="auto"/>
        <w:contextualSpacing w:val="0"/>
        <w:jc w:val="both"/>
        <w:outlineLvl w:val="0"/>
        <w:rPr>
          <w:rFonts w:ascii="Times New Roman" w:hAnsi="Times New Roman"/>
          <w:sz w:val="24"/>
          <w:szCs w:val="24"/>
        </w:rPr>
      </w:pPr>
      <w:r w:rsidRPr="003774DD">
        <w:rPr>
          <w:rFonts w:ascii="Times New Roman" w:hAnsi="Times New Roman"/>
          <w:sz w:val="24"/>
          <w:szCs w:val="24"/>
        </w:rPr>
        <w:t>“13 percent of PLA students earned an associate’s degree, compared to 6 percent of non-PLA</w:t>
      </w:r>
      <w:r>
        <w:rPr>
          <w:rFonts w:ascii="Times New Roman" w:hAnsi="Times New Roman"/>
          <w:sz w:val="24"/>
          <w:szCs w:val="24"/>
        </w:rPr>
        <w:t xml:space="preserve"> </w:t>
      </w:r>
      <w:r w:rsidRPr="003774DD">
        <w:rPr>
          <w:rFonts w:ascii="Times New Roman" w:hAnsi="Times New Roman"/>
          <w:sz w:val="24"/>
          <w:szCs w:val="24"/>
        </w:rPr>
        <w:t>students” (p. 7).</w:t>
      </w:r>
    </w:p>
    <w:p w:rsidR="006D48D7" w:rsidRPr="003774DD" w:rsidRDefault="006D48D7" w:rsidP="006D48D7">
      <w:pPr>
        <w:autoSpaceDE w:val="0"/>
        <w:autoSpaceDN w:val="0"/>
        <w:adjustRightInd w:val="0"/>
        <w:rPr>
          <w:sz w:val="24"/>
        </w:rPr>
      </w:pPr>
      <w:r w:rsidRPr="003774DD">
        <w:rPr>
          <w:sz w:val="24"/>
        </w:rPr>
        <w:t xml:space="preserve">Persistence: </w:t>
      </w:r>
    </w:p>
    <w:p w:rsidR="006D48D7" w:rsidRPr="003774DD" w:rsidRDefault="006D48D7" w:rsidP="006D48D7">
      <w:pPr>
        <w:pStyle w:val="ListParagraph"/>
        <w:numPr>
          <w:ilvl w:val="0"/>
          <w:numId w:val="9"/>
        </w:numPr>
        <w:autoSpaceDE w:val="0"/>
        <w:autoSpaceDN w:val="0"/>
        <w:adjustRightInd w:val="0"/>
        <w:spacing w:after="120" w:line="240" w:lineRule="auto"/>
        <w:contextualSpacing w:val="0"/>
        <w:rPr>
          <w:rFonts w:ascii="Times New Roman" w:hAnsi="Times New Roman"/>
          <w:sz w:val="24"/>
          <w:szCs w:val="24"/>
        </w:rPr>
      </w:pPr>
      <w:r w:rsidRPr="003774DD">
        <w:rPr>
          <w:rFonts w:ascii="Times New Roman" w:hAnsi="Times New Roman"/>
          <w:sz w:val="24"/>
          <w:szCs w:val="24"/>
        </w:rPr>
        <w:t>“More than half of all PLA students who had not yet earned a degree by the end of 2008 (56%) had accumulated 80 percent or more of the credits towards a degree between 2001-</w:t>
      </w:r>
      <w:r w:rsidRPr="003774DD">
        <w:rPr>
          <w:rFonts w:ascii="Times New Roman" w:hAnsi="Times New Roman"/>
          <w:sz w:val="24"/>
          <w:szCs w:val="24"/>
        </w:rPr>
        <w:lastRenderedPageBreak/>
        <w:t>2002 and the end of 2008; only 22 percent of non-PLA students with no degree had made similar progress towards their degrees;”</w:t>
      </w:r>
    </w:p>
    <w:p w:rsidR="006D48D7" w:rsidRPr="003774DD" w:rsidRDefault="006D48D7" w:rsidP="006D48D7">
      <w:pPr>
        <w:pStyle w:val="ListParagraph"/>
        <w:numPr>
          <w:ilvl w:val="0"/>
          <w:numId w:val="9"/>
        </w:numPr>
        <w:autoSpaceDE w:val="0"/>
        <w:autoSpaceDN w:val="0"/>
        <w:adjustRightInd w:val="0"/>
        <w:spacing w:after="120" w:line="240" w:lineRule="auto"/>
        <w:contextualSpacing w:val="0"/>
        <w:rPr>
          <w:rFonts w:ascii="Times New Roman" w:hAnsi="Times New Roman"/>
          <w:sz w:val="24"/>
          <w:szCs w:val="24"/>
        </w:rPr>
      </w:pPr>
      <w:r w:rsidRPr="003774DD">
        <w:rPr>
          <w:rFonts w:ascii="Times New Roman" w:hAnsi="Times New Roman"/>
          <w:sz w:val="24"/>
          <w:szCs w:val="24"/>
        </w:rPr>
        <w:t>“PLA students (both degree-earners and non-degree earners) earned an average of 53.7 credits in institutional coursework (as opposed to credit accumulation from PLA credits or transfer credits), compared to an average of 43.8 credits by non-PLA students;” and</w:t>
      </w:r>
    </w:p>
    <w:p w:rsidR="006D48D7" w:rsidRPr="003774DD" w:rsidRDefault="006D48D7" w:rsidP="006D48D7">
      <w:pPr>
        <w:pStyle w:val="ListParagraph"/>
        <w:numPr>
          <w:ilvl w:val="0"/>
          <w:numId w:val="9"/>
        </w:numPr>
        <w:autoSpaceDE w:val="0"/>
        <w:autoSpaceDN w:val="0"/>
        <w:adjustRightInd w:val="0"/>
        <w:spacing w:after="120" w:line="240" w:lineRule="auto"/>
        <w:contextualSpacing w:val="0"/>
        <w:rPr>
          <w:rFonts w:ascii="Times New Roman" w:hAnsi="Times New Roman"/>
          <w:bCs/>
          <w:sz w:val="24"/>
          <w:szCs w:val="24"/>
        </w:rPr>
      </w:pPr>
      <w:r w:rsidRPr="003774DD">
        <w:rPr>
          <w:rFonts w:ascii="Times New Roman" w:hAnsi="Times New Roman"/>
          <w:bCs/>
          <w:sz w:val="24"/>
          <w:szCs w:val="24"/>
        </w:rPr>
        <w:t>“PLA students in this study who did not earn degrees had stronger patterns of annual enrollment and credit</w:t>
      </w:r>
      <w:r>
        <w:rPr>
          <w:rFonts w:ascii="Times New Roman" w:hAnsi="Times New Roman"/>
          <w:bCs/>
          <w:sz w:val="24"/>
          <w:szCs w:val="24"/>
        </w:rPr>
        <w:t xml:space="preserve"> </w:t>
      </w:r>
      <w:r w:rsidRPr="003774DD">
        <w:rPr>
          <w:rFonts w:ascii="Times New Roman" w:hAnsi="Times New Roman"/>
          <w:bCs/>
          <w:sz w:val="24"/>
          <w:szCs w:val="24"/>
        </w:rPr>
        <w:t>earning than non-PLA students who did not earn degrees</w:t>
      </w:r>
      <w:r w:rsidR="00BA14EA">
        <w:rPr>
          <w:rFonts w:ascii="Times New Roman" w:hAnsi="Times New Roman"/>
          <w:bCs/>
          <w:sz w:val="24"/>
          <w:szCs w:val="24"/>
        </w:rPr>
        <w:t>.</w:t>
      </w:r>
      <w:r w:rsidRPr="003774DD">
        <w:rPr>
          <w:rFonts w:ascii="Times New Roman" w:hAnsi="Times New Roman"/>
          <w:bCs/>
          <w:sz w:val="24"/>
          <w:szCs w:val="24"/>
        </w:rPr>
        <w:t xml:space="preserve">” </w:t>
      </w:r>
    </w:p>
    <w:p w:rsidR="006D48D7" w:rsidRPr="003774DD" w:rsidRDefault="006D48D7" w:rsidP="006D48D7">
      <w:pPr>
        <w:autoSpaceDE w:val="0"/>
        <w:autoSpaceDN w:val="0"/>
        <w:adjustRightInd w:val="0"/>
        <w:rPr>
          <w:bCs/>
          <w:sz w:val="24"/>
        </w:rPr>
      </w:pPr>
      <w:r w:rsidRPr="003774DD">
        <w:rPr>
          <w:bCs/>
          <w:sz w:val="24"/>
        </w:rPr>
        <w:t xml:space="preserve">Time to Degree: </w:t>
      </w:r>
    </w:p>
    <w:p w:rsidR="006D48D7" w:rsidRPr="003774DD" w:rsidRDefault="006D48D7" w:rsidP="006D48D7">
      <w:pPr>
        <w:pStyle w:val="ListParagraph"/>
        <w:numPr>
          <w:ilvl w:val="0"/>
          <w:numId w:val="10"/>
        </w:numPr>
        <w:autoSpaceDE w:val="0"/>
        <w:autoSpaceDN w:val="0"/>
        <w:adjustRightInd w:val="0"/>
        <w:spacing w:after="120" w:line="240" w:lineRule="auto"/>
        <w:contextualSpacing w:val="0"/>
        <w:rPr>
          <w:rFonts w:ascii="Times New Roman" w:hAnsi="Times New Roman"/>
          <w:sz w:val="24"/>
          <w:szCs w:val="24"/>
        </w:rPr>
      </w:pPr>
      <w:r w:rsidRPr="003774DD">
        <w:rPr>
          <w:rFonts w:ascii="Times New Roman" w:hAnsi="Times New Roman"/>
          <w:b/>
          <w:bCs/>
          <w:sz w:val="24"/>
          <w:szCs w:val="24"/>
        </w:rPr>
        <w:t>“</w:t>
      </w:r>
      <w:r w:rsidRPr="003774DD">
        <w:rPr>
          <w:rFonts w:ascii="Times New Roman" w:hAnsi="Times New Roman"/>
          <w:sz w:val="24"/>
          <w:szCs w:val="24"/>
        </w:rPr>
        <w:t xml:space="preserve">PLA students earning bachelor’s degrees saved an average of between 2.5 and 10.1 months of time in earning their degrees, compared to non-PLA students earning degrees. PLA students earning 13-24 PLA credits saved an average of 6.6 months, and those earning 49 or more PLA credits </w:t>
      </w:r>
      <w:r w:rsidR="00BA14EA">
        <w:rPr>
          <w:rFonts w:ascii="Times New Roman" w:hAnsi="Times New Roman"/>
          <w:sz w:val="24"/>
          <w:szCs w:val="24"/>
        </w:rPr>
        <w:t>saved an average of 10.1 months.</w:t>
      </w:r>
      <w:r w:rsidRPr="003774DD">
        <w:rPr>
          <w:rFonts w:ascii="Times New Roman" w:hAnsi="Times New Roman"/>
          <w:sz w:val="24"/>
          <w:szCs w:val="24"/>
        </w:rPr>
        <w:t>”</w:t>
      </w:r>
      <w:r w:rsidR="00BA14EA">
        <w:rPr>
          <w:rFonts w:ascii="Times New Roman" w:hAnsi="Times New Roman"/>
          <w:sz w:val="24"/>
          <w:szCs w:val="24"/>
        </w:rPr>
        <w:t xml:space="preserve"> </w:t>
      </w:r>
      <w:r w:rsidR="00BA14EA">
        <w:rPr>
          <w:rFonts w:ascii="Times New Roman" w:hAnsi="Times New Roman"/>
          <w:bCs/>
          <w:sz w:val="24"/>
          <w:szCs w:val="24"/>
        </w:rPr>
        <w:t>(p. 8)</w:t>
      </w:r>
    </w:p>
    <w:p w:rsidR="006D48D7" w:rsidRDefault="006D48D7" w:rsidP="006D48D7">
      <w:pPr>
        <w:jc w:val="both"/>
        <w:outlineLvl w:val="0"/>
        <w:rPr>
          <w:sz w:val="24"/>
        </w:rPr>
      </w:pPr>
    </w:p>
    <w:p w:rsidR="006D48D7" w:rsidRDefault="006D48D7" w:rsidP="006D48D7">
      <w:pPr>
        <w:autoSpaceDE w:val="0"/>
        <w:autoSpaceDN w:val="0"/>
        <w:adjustRightInd w:val="0"/>
        <w:jc w:val="both"/>
        <w:rPr>
          <w:sz w:val="24"/>
        </w:rPr>
      </w:pPr>
      <w:r w:rsidRPr="009C02BE">
        <w:rPr>
          <w:sz w:val="24"/>
        </w:rPr>
        <w:t xml:space="preserve">PLA also holds great promise for assisting veterans. According to </w:t>
      </w:r>
      <w:r>
        <w:rPr>
          <w:sz w:val="24"/>
        </w:rPr>
        <w:t>the CAEL study</w:t>
      </w:r>
      <w:r w:rsidRPr="009C02BE">
        <w:rPr>
          <w:sz w:val="24"/>
        </w:rPr>
        <w:t>, “Two-thirds (67%) of the students with military service histories earned PLA credit compared with two-fifths (40%) of students who are coded as non-military” (p. 31).</w:t>
      </w:r>
      <w:r>
        <w:rPr>
          <w:sz w:val="24"/>
        </w:rPr>
        <w:t xml:space="preserve"> As far as other student demographics, CAEL reports:</w:t>
      </w:r>
    </w:p>
    <w:p w:rsidR="006D48D7" w:rsidRDefault="006D48D7" w:rsidP="006D48D7">
      <w:pPr>
        <w:autoSpaceDE w:val="0"/>
        <w:autoSpaceDN w:val="0"/>
        <w:adjustRightInd w:val="0"/>
        <w:jc w:val="both"/>
        <w:rPr>
          <w:sz w:val="24"/>
        </w:rPr>
      </w:pPr>
    </w:p>
    <w:p w:rsidR="006D48D7" w:rsidRPr="0012020D" w:rsidRDefault="006D48D7" w:rsidP="006D48D7">
      <w:pPr>
        <w:pStyle w:val="ListParagraph"/>
        <w:numPr>
          <w:ilvl w:val="0"/>
          <w:numId w:val="6"/>
        </w:numPr>
        <w:autoSpaceDE w:val="0"/>
        <w:autoSpaceDN w:val="0"/>
        <w:adjustRightInd w:val="0"/>
        <w:spacing w:after="120" w:line="240" w:lineRule="auto"/>
        <w:contextualSpacing w:val="0"/>
        <w:jc w:val="both"/>
        <w:rPr>
          <w:rFonts w:ascii="Times New Roman" w:hAnsi="Times New Roman"/>
          <w:sz w:val="24"/>
        </w:rPr>
      </w:pPr>
      <w:r w:rsidRPr="0012020D">
        <w:rPr>
          <w:rFonts w:ascii="Times New Roman" w:hAnsi="Times New Roman"/>
          <w:sz w:val="24"/>
        </w:rPr>
        <w:t>Gender: “Both male and female students showed similar patterns of degree-earning, with PLA students of both genders earning degrees at a rate that was almost three times higher than the rate of non-PLA students” (p. 48);</w:t>
      </w:r>
    </w:p>
    <w:p w:rsidR="006D48D7" w:rsidRPr="0012020D" w:rsidRDefault="006D48D7" w:rsidP="006D48D7">
      <w:pPr>
        <w:pStyle w:val="ListParagraph"/>
        <w:numPr>
          <w:ilvl w:val="0"/>
          <w:numId w:val="6"/>
        </w:numPr>
        <w:autoSpaceDE w:val="0"/>
        <w:autoSpaceDN w:val="0"/>
        <w:adjustRightInd w:val="0"/>
        <w:spacing w:after="120" w:line="240" w:lineRule="auto"/>
        <w:contextualSpacing w:val="0"/>
        <w:jc w:val="both"/>
        <w:rPr>
          <w:rFonts w:ascii="Times New Roman" w:hAnsi="Times New Roman"/>
          <w:sz w:val="24"/>
        </w:rPr>
      </w:pPr>
      <w:r w:rsidRPr="0012020D">
        <w:rPr>
          <w:rFonts w:ascii="Times New Roman" w:hAnsi="Times New Roman"/>
          <w:sz w:val="24"/>
        </w:rPr>
        <w:t xml:space="preserve">Age: </w:t>
      </w:r>
      <w:r>
        <w:rPr>
          <w:rFonts w:ascii="Times New Roman" w:hAnsi="Times New Roman"/>
          <w:sz w:val="24"/>
        </w:rPr>
        <w:t>“</w:t>
      </w:r>
      <w:r w:rsidRPr="0012020D">
        <w:rPr>
          <w:rFonts w:ascii="Times New Roman" w:hAnsi="Times New Roman"/>
          <w:sz w:val="24"/>
        </w:rPr>
        <w:t>PLA earners in every age group had higher graduation rates than non-PLA students. The difference in graduation rates was highest for those aged 55 and older</w:t>
      </w:r>
      <w:r>
        <w:rPr>
          <w:rFonts w:ascii="Times New Roman" w:hAnsi="Times New Roman"/>
          <w:sz w:val="24"/>
        </w:rPr>
        <w:t>…</w:t>
      </w:r>
      <w:r w:rsidRPr="0012020D">
        <w:rPr>
          <w:rFonts w:ascii="Times New Roman" w:hAnsi="Times New Roman"/>
          <w:sz w:val="24"/>
        </w:rPr>
        <w:t xml:space="preserve"> but even the youngest learners (aged 25-34) with PLA credit had graduation rates that were more than twice those of non-PLA students in the same age group” (p. 49);</w:t>
      </w:r>
    </w:p>
    <w:p w:rsidR="006D48D7" w:rsidRPr="0012020D" w:rsidRDefault="006D48D7" w:rsidP="006D48D7">
      <w:pPr>
        <w:pStyle w:val="ListParagraph"/>
        <w:numPr>
          <w:ilvl w:val="0"/>
          <w:numId w:val="6"/>
        </w:numPr>
        <w:autoSpaceDE w:val="0"/>
        <w:autoSpaceDN w:val="0"/>
        <w:adjustRightInd w:val="0"/>
        <w:spacing w:after="120" w:line="240" w:lineRule="auto"/>
        <w:contextualSpacing w:val="0"/>
        <w:jc w:val="both"/>
        <w:rPr>
          <w:rFonts w:ascii="Times New Roman" w:hAnsi="Times New Roman"/>
          <w:sz w:val="24"/>
        </w:rPr>
      </w:pPr>
      <w:r w:rsidRPr="0012020D">
        <w:rPr>
          <w:rFonts w:ascii="Times New Roman" w:hAnsi="Times New Roman"/>
          <w:sz w:val="24"/>
        </w:rPr>
        <w:t xml:space="preserve">Race/Ethnicity: </w:t>
      </w:r>
      <w:r>
        <w:rPr>
          <w:rFonts w:ascii="Times New Roman" w:hAnsi="Times New Roman"/>
          <w:sz w:val="24"/>
        </w:rPr>
        <w:t>“…</w:t>
      </w:r>
      <w:r w:rsidRPr="0012020D">
        <w:rPr>
          <w:rFonts w:ascii="Times New Roman" w:hAnsi="Times New Roman"/>
          <w:sz w:val="24"/>
        </w:rPr>
        <w:t>graduation rates for PLA students</w:t>
      </w:r>
      <w:r>
        <w:rPr>
          <w:rFonts w:ascii="Times New Roman" w:hAnsi="Times New Roman"/>
          <w:sz w:val="24"/>
        </w:rPr>
        <w:t xml:space="preserve"> [of color]</w:t>
      </w:r>
      <w:r w:rsidRPr="0012020D">
        <w:rPr>
          <w:rFonts w:ascii="Times New Roman" w:hAnsi="Times New Roman"/>
          <w:sz w:val="24"/>
        </w:rPr>
        <w:t xml:space="preserve"> were higher than non-PLA students. The most dramatic difference was for Hispanic students at the bachelor’s degree level; Hispanic PLA students earned bachelor’s degrees at a rate that was almost eight times higher than that of Hispanic non-PLA students</w:t>
      </w:r>
      <w:r>
        <w:rPr>
          <w:rFonts w:ascii="Times New Roman" w:hAnsi="Times New Roman"/>
          <w:sz w:val="24"/>
        </w:rPr>
        <w:t xml:space="preserve">. </w:t>
      </w:r>
      <w:r w:rsidRPr="0012020D">
        <w:rPr>
          <w:rFonts w:ascii="Times New Roman" w:hAnsi="Times New Roman"/>
          <w:sz w:val="24"/>
        </w:rPr>
        <w:t xml:space="preserve">Decreases in average time to degree were apparent for </w:t>
      </w:r>
      <w:r>
        <w:rPr>
          <w:rFonts w:ascii="Times New Roman" w:hAnsi="Times New Roman"/>
          <w:sz w:val="24"/>
        </w:rPr>
        <w:t>[black, Hispanic and white students]…</w:t>
      </w:r>
      <w:r w:rsidRPr="0012020D">
        <w:rPr>
          <w:rFonts w:ascii="Times New Roman" w:hAnsi="Times New Roman"/>
          <w:sz w:val="24"/>
        </w:rPr>
        <w:t xml:space="preserve"> with the most dramatic decreases for </w:t>
      </w:r>
      <w:r>
        <w:rPr>
          <w:rFonts w:ascii="Times New Roman" w:hAnsi="Times New Roman"/>
          <w:sz w:val="24"/>
        </w:rPr>
        <w:t>black PLA students”</w:t>
      </w:r>
      <w:r w:rsidRPr="0012020D">
        <w:rPr>
          <w:rFonts w:ascii="Times New Roman" w:hAnsi="Times New Roman"/>
          <w:sz w:val="24"/>
        </w:rPr>
        <w:t xml:space="preserve"> (pp. 50-51);</w:t>
      </w:r>
      <w:r>
        <w:rPr>
          <w:rFonts w:ascii="Times New Roman" w:hAnsi="Times New Roman"/>
          <w:sz w:val="24"/>
        </w:rPr>
        <w:t xml:space="preserve"> and</w:t>
      </w:r>
    </w:p>
    <w:p w:rsidR="006D48D7" w:rsidRPr="0012020D" w:rsidRDefault="006D48D7" w:rsidP="006D48D7">
      <w:pPr>
        <w:pStyle w:val="ListParagraph"/>
        <w:numPr>
          <w:ilvl w:val="0"/>
          <w:numId w:val="6"/>
        </w:numPr>
        <w:autoSpaceDE w:val="0"/>
        <w:autoSpaceDN w:val="0"/>
        <w:adjustRightInd w:val="0"/>
        <w:spacing w:after="120" w:line="240" w:lineRule="auto"/>
        <w:contextualSpacing w:val="0"/>
        <w:jc w:val="both"/>
        <w:rPr>
          <w:rFonts w:ascii="Times New Roman" w:hAnsi="Times New Roman"/>
          <w:sz w:val="24"/>
        </w:rPr>
      </w:pPr>
      <w:r w:rsidRPr="0012020D">
        <w:rPr>
          <w:rFonts w:ascii="Times New Roman" w:hAnsi="Times New Roman"/>
          <w:sz w:val="24"/>
        </w:rPr>
        <w:t>Financial Aid: “Financial aid recipients earning PLA had dramatically higher graduation rates than their non-PLA counterparts (72% compared to 16%), and their graduation rates were also higher than students who did not receive financial aid” (p. 52).</w:t>
      </w:r>
    </w:p>
    <w:p w:rsidR="006757CB" w:rsidRDefault="006757CB" w:rsidP="006D48D7">
      <w:pPr>
        <w:autoSpaceDE w:val="0"/>
        <w:autoSpaceDN w:val="0"/>
        <w:adjustRightInd w:val="0"/>
        <w:jc w:val="both"/>
        <w:rPr>
          <w:sz w:val="24"/>
        </w:rPr>
      </w:pPr>
    </w:p>
    <w:p w:rsidR="00AB0013" w:rsidRPr="00AB0013" w:rsidRDefault="00AB0013" w:rsidP="006D48D7">
      <w:pPr>
        <w:autoSpaceDE w:val="0"/>
        <w:autoSpaceDN w:val="0"/>
        <w:adjustRightInd w:val="0"/>
        <w:jc w:val="both"/>
        <w:rPr>
          <w:sz w:val="24"/>
        </w:rPr>
      </w:pPr>
      <w:r w:rsidRPr="00AB0013">
        <w:rPr>
          <w:sz w:val="24"/>
        </w:rPr>
        <w:t xml:space="preserve">In </w:t>
      </w:r>
      <w:r w:rsidR="007C6A8C">
        <w:rPr>
          <w:sz w:val="24"/>
        </w:rPr>
        <w:t>another</w:t>
      </w:r>
      <w:r w:rsidRPr="00AB0013">
        <w:rPr>
          <w:sz w:val="24"/>
        </w:rPr>
        <w:t xml:space="preserve"> study (Klein-Collins, R. and R. Olson, 2014) that focuses on Latino stude</w:t>
      </w:r>
      <w:r w:rsidR="007C6A8C">
        <w:rPr>
          <w:sz w:val="24"/>
        </w:rPr>
        <w:t>nts’ experiences with PLA, the authors describe</w:t>
      </w:r>
      <w:r w:rsidRPr="00AB0013">
        <w:rPr>
          <w:sz w:val="24"/>
        </w:rPr>
        <w:t xml:space="preserve"> how</w:t>
      </w:r>
      <w:r w:rsidRPr="00AB0013">
        <w:rPr>
          <w:rFonts w:cs="Neutra Text Book"/>
          <w:color w:val="221E1F"/>
          <w:sz w:val="24"/>
        </w:rPr>
        <w:t xml:space="preserve"> PLA can accelerate degree completion for adult Latino students. The authors state, </w:t>
      </w:r>
      <w:r w:rsidRPr="00AB0013">
        <w:rPr>
          <w:sz w:val="24"/>
        </w:rPr>
        <w:t>“</w:t>
      </w:r>
      <w:r w:rsidRPr="00AB0013">
        <w:rPr>
          <w:rFonts w:cs="Neutra Text Demi Italic"/>
          <w:bCs/>
          <w:iCs/>
          <w:sz w:val="24"/>
        </w:rPr>
        <w:t>Latino students were more likely to earn PLA credit in the area of foreign language” (pg. 2) and “</w:t>
      </w:r>
      <w:r w:rsidRPr="00AB0013">
        <w:rPr>
          <w:rFonts w:cs="Neutra Text Book"/>
          <w:sz w:val="24"/>
        </w:rPr>
        <w:t>Both institutional representatives and Latino students discussed PLA as a practice that empowers and validates” (pg. 4</w:t>
      </w:r>
      <w:r w:rsidR="001F4F56">
        <w:rPr>
          <w:rFonts w:cs="Neutra Text Book"/>
          <w:sz w:val="24"/>
        </w:rPr>
        <w:t xml:space="preserve">). </w:t>
      </w:r>
    </w:p>
    <w:p w:rsidR="00AB0013" w:rsidRDefault="00AB0013" w:rsidP="006D48D7">
      <w:pPr>
        <w:autoSpaceDE w:val="0"/>
        <w:autoSpaceDN w:val="0"/>
        <w:adjustRightInd w:val="0"/>
        <w:jc w:val="both"/>
        <w:rPr>
          <w:sz w:val="24"/>
        </w:rPr>
      </w:pPr>
    </w:p>
    <w:p w:rsidR="006D48D7" w:rsidRDefault="006D48D7" w:rsidP="006D48D7">
      <w:pPr>
        <w:autoSpaceDE w:val="0"/>
        <w:autoSpaceDN w:val="0"/>
        <w:adjustRightInd w:val="0"/>
        <w:jc w:val="both"/>
        <w:rPr>
          <w:sz w:val="24"/>
        </w:rPr>
      </w:pPr>
      <w:r>
        <w:rPr>
          <w:sz w:val="24"/>
        </w:rPr>
        <w:t>Besides benefits to students, i</w:t>
      </w:r>
      <w:r w:rsidRPr="009C02BE">
        <w:rPr>
          <w:sz w:val="24"/>
        </w:rPr>
        <w:t>nstitutions that offered PLA also reported benefits to the institu</w:t>
      </w:r>
      <w:r>
        <w:rPr>
          <w:sz w:val="24"/>
        </w:rPr>
        <w:t xml:space="preserve">tion itself. For instance, </w:t>
      </w:r>
      <w:r w:rsidRPr="009C02BE">
        <w:rPr>
          <w:sz w:val="24"/>
        </w:rPr>
        <w:t>administrators at these institutions responded in interviews that</w:t>
      </w:r>
      <w:r>
        <w:rPr>
          <w:sz w:val="24"/>
        </w:rPr>
        <w:t>:</w:t>
      </w:r>
      <w:r w:rsidRPr="009C02BE">
        <w:rPr>
          <w:sz w:val="24"/>
        </w:rPr>
        <w:t xml:space="preserve"> </w:t>
      </w:r>
    </w:p>
    <w:p w:rsidR="006D48D7" w:rsidRDefault="006D48D7" w:rsidP="006D48D7">
      <w:pPr>
        <w:autoSpaceDE w:val="0"/>
        <w:autoSpaceDN w:val="0"/>
        <w:adjustRightInd w:val="0"/>
        <w:jc w:val="both"/>
        <w:rPr>
          <w:sz w:val="24"/>
        </w:rPr>
      </w:pPr>
    </w:p>
    <w:p w:rsidR="006D48D7" w:rsidRPr="00325D9C" w:rsidRDefault="006D48D7" w:rsidP="006D48D7">
      <w:pPr>
        <w:pStyle w:val="ListParagraph"/>
        <w:numPr>
          <w:ilvl w:val="0"/>
          <w:numId w:val="7"/>
        </w:numPr>
        <w:autoSpaceDE w:val="0"/>
        <w:autoSpaceDN w:val="0"/>
        <w:adjustRightInd w:val="0"/>
        <w:spacing w:after="120" w:line="240" w:lineRule="auto"/>
        <w:contextualSpacing w:val="0"/>
        <w:jc w:val="both"/>
        <w:rPr>
          <w:rFonts w:ascii="Times New Roman" w:hAnsi="Times New Roman"/>
          <w:sz w:val="24"/>
        </w:rPr>
      </w:pPr>
      <w:r w:rsidRPr="00325D9C">
        <w:rPr>
          <w:rFonts w:ascii="Times New Roman" w:hAnsi="Times New Roman"/>
          <w:sz w:val="24"/>
        </w:rPr>
        <w:lastRenderedPageBreak/>
        <w:t xml:space="preserve">“…PLA can be a tool for recruiting adult students” (p. 23); </w:t>
      </w:r>
    </w:p>
    <w:p w:rsidR="006D48D7" w:rsidRPr="00325D9C" w:rsidRDefault="006D48D7" w:rsidP="006D48D7">
      <w:pPr>
        <w:pStyle w:val="ListParagraph"/>
        <w:numPr>
          <w:ilvl w:val="0"/>
          <w:numId w:val="7"/>
        </w:numPr>
        <w:autoSpaceDE w:val="0"/>
        <w:autoSpaceDN w:val="0"/>
        <w:adjustRightInd w:val="0"/>
        <w:spacing w:after="120" w:line="240" w:lineRule="auto"/>
        <w:contextualSpacing w:val="0"/>
        <w:jc w:val="both"/>
        <w:rPr>
          <w:rFonts w:ascii="Times New Roman" w:hAnsi="Times New Roman"/>
          <w:sz w:val="24"/>
        </w:rPr>
      </w:pPr>
      <w:r w:rsidRPr="00325D9C">
        <w:rPr>
          <w:rFonts w:ascii="Times New Roman" w:hAnsi="Times New Roman"/>
          <w:sz w:val="24"/>
        </w:rPr>
        <w:t>“With the adult market, students that are savvy customers are asking for these policies. For them it’s an indication of how adult friendly you are” (p. 23);</w:t>
      </w:r>
    </w:p>
    <w:p w:rsidR="006D48D7" w:rsidRPr="00325D9C" w:rsidRDefault="006D48D7" w:rsidP="006D48D7">
      <w:pPr>
        <w:pStyle w:val="ListParagraph"/>
        <w:numPr>
          <w:ilvl w:val="0"/>
          <w:numId w:val="7"/>
        </w:numPr>
        <w:autoSpaceDE w:val="0"/>
        <w:autoSpaceDN w:val="0"/>
        <w:adjustRightInd w:val="0"/>
        <w:spacing w:after="120" w:line="240" w:lineRule="auto"/>
        <w:contextualSpacing w:val="0"/>
        <w:jc w:val="both"/>
        <w:rPr>
          <w:rFonts w:ascii="Times New Roman" w:hAnsi="Times New Roman"/>
          <w:sz w:val="24"/>
        </w:rPr>
      </w:pPr>
      <w:r w:rsidRPr="00325D9C">
        <w:rPr>
          <w:rFonts w:ascii="Times New Roman" w:hAnsi="Times New Roman"/>
          <w:sz w:val="24"/>
        </w:rPr>
        <w:t>“Alumni who do [portfolio] PLA feel closer ties to the college. They’ve had more conversations with their mentor… The student ends up having a lot more contact with individuals in an intimate way. When you talk about what you know, you have been valued in a different way. We have healthy alumni giving” (p. 23); and</w:t>
      </w:r>
    </w:p>
    <w:p w:rsidR="006D48D7" w:rsidRPr="00325D9C" w:rsidRDefault="006D48D7" w:rsidP="006D48D7">
      <w:pPr>
        <w:pStyle w:val="ListParagraph"/>
        <w:numPr>
          <w:ilvl w:val="0"/>
          <w:numId w:val="7"/>
        </w:numPr>
        <w:autoSpaceDE w:val="0"/>
        <w:autoSpaceDN w:val="0"/>
        <w:adjustRightInd w:val="0"/>
        <w:spacing w:after="120" w:line="240" w:lineRule="auto"/>
        <w:contextualSpacing w:val="0"/>
        <w:jc w:val="both"/>
        <w:rPr>
          <w:rFonts w:ascii="Times New Roman" w:hAnsi="Times New Roman"/>
          <w:sz w:val="24"/>
        </w:rPr>
      </w:pPr>
      <w:r w:rsidRPr="00325D9C">
        <w:rPr>
          <w:rFonts w:ascii="Times New Roman" w:hAnsi="Times New Roman"/>
          <w:sz w:val="24"/>
        </w:rPr>
        <w:t>“The PLA process gives faculty a chance to see how higher-level learners think about topics and course materials” (p. 23).</w:t>
      </w:r>
    </w:p>
    <w:p w:rsidR="006D48D7" w:rsidRDefault="006D48D7" w:rsidP="006D48D7">
      <w:pPr>
        <w:autoSpaceDE w:val="0"/>
        <w:autoSpaceDN w:val="0"/>
        <w:adjustRightInd w:val="0"/>
        <w:jc w:val="both"/>
        <w:rPr>
          <w:sz w:val="24"/>
        </w:rPr>
      </w:pPr>
    </w:p>
    <w:p w:rsidR="006D48D7" w:rsidRDefault="006D48D7" w:rsidP="006D48D7">
      <w:pPr>
        <w:autoSpaceDE w:val="0"/>
        <w:autoSpaceDN w:val="0"/>
        <w:adjustRightInd w:val="0"/>
        <w:jc w:val="both"/>
        <w:rPr>
          <w:sz w:val="24"/>
        </w:rPr>
      </w:pPr>
      <w:r>
        <w:rPr>
          <w:sz w:val="24"/>
        </w:rPr>
        <w:t>CAEL’s research is important because it demonstrates that a comprehensive PLA policy can help Colorado increase degree completion and close achievement</w:t>
      </w:r>
      <w:r w:rsidR="007C6A8C">
        <w:rPr>
          <w:sz w:val="24"/>
        </w:rPr>
        <w:t xml:space="preserve"> gaps, especially for adults,</w:t>
      </w:r>
      <w:r>
        <w:rPr>
          <w:sz w:val="24"/>
        </w:rPr>
        <w:t xml:space="preserve"> students of color</w:t>
      </w:r>
      <w:r w:rsidR="007C6A8C">
        <w:rPr>
          <w:sz w:val="24"/>
        </w:rPr>
        <w:t xml:space="preserve"> and low income students</w:t>
      </w:r>
      <w:r>
        <w:rPr>
          <w:sz w:val="24"/>
        </w:rPr>
        <w:t>.</w:t>
      </w:r>
    </w:p>
    <w:p w:rsidR="006D48D7" w:rsidRDefault="006D48D7" w:rsidP="006D48D7">
      <w:pPr>
        <w:autoSpaceDE w:val="0"/>
        <w:autoSpaceDN w:val="0"/>
        <w:adjustRightInd w:val="0"/>
        <w:jc w:val="both"/>
        <w:rPr>
          <w:sz w:val="24"/>
        </w:rPr>
      </w:pPr>
    </w:p>
    <w:p w:rsidR="006D48D7" w:rsidRDefault="006D48D7" w:rsidP="006D48D7">
      <w:pPr>
        <w:jc w:val="both"/>
        <w:outlineLvl w:val="0"/>
        <w:rPr>
          <w:i/>
          <w:sz w:val="24"/>
        </w:rPr>
      </w:pPr>
      <w:r>
        <w:rPr>
          <w:i/>
          <w:sz w:val="24"/>
        </w:rPr>
        <w:t xml:space="preserve">Florida’s Policy and Research </w:t>
      </w:r>
    </w:p>
    <w:p w:rsidR="006D48D7" w:rsidRPr="00FD0F6A" w:rsidRDefault="006D48D7" w:rsidP="006D48D7">
      <w:pPr>
        <w:jc w:val="both"/>
        <w:outlineLvl w:val="0"/>
        <w:rPr>
          <w:i/>
          <w:sz w:val="24"/>
        </w:rPr>
      </w:pPr>
    </w:p>
    <w:p w:rsidR="006D48D7" w:rsidRPr="005A34BC" w:rsidRDefault="006D48D7" w:rsidP="006D48D7">
      <w:pPr>
        <w:pStyle w:val="Default"/>
        <w:jc w:val="both"/>
        <w:rPr>
          <w:color w:val="auto"/>
        </w:rPr>
      </w:pPr>
      <w:r w:rsidRPr="00583759">
        <w:rPr>
          <w:bCs/>
          <w:color w:val="auto"/>
        </w:rPr>
        <w:t>Seven states</w:t>
      </w:r>
      <w:r>
        <w:rPr>
          <w:bCs/>
          <w:color w:val="auto"/>
        </w:rPr>
        <w:t xml:space="preserve">, and the California State University System, have mandated a common cut score of 3 for AP exams. Florida is one of those states. </w:t>
      </w:r>
      <w:r w:rsidRPr="005A34BC">
        <w:rPr>
          <w:bCs/>
          <w:color w:val="auto"/>
        </w:rPr>
        <w:t xml:space="preserve">Matthew Bouck, </w:t>
      </w:r>
      <w:r w:rsidRPr="005A34BC">
        <w:rPr>
          <w:color w:val="auto"/>
        </w:rPr>
        <w:t>Director, Office of Articulation at Florida Department of Education</w:t>
      </w:r>
      <w:r>
        <w:rPr>
          <w:color w:val="auto"/>
        </w:rPr>
        <w:t>,</w:t>
      </w:r>
      <w:r w:rsidRPr="005A34BC">
        <w:rPr>
          <w:color w:val="auto"/>
        </w:rPr>
        <w:t xml:space="preserve"> wrote a report titled “Performance on Advanced Placement Examinations and in Subsequent Postsecondary Coursework</w:t>
      </w:r>
      <w:r w:rsidRPr="005A34BC">
        <w:rPr>
          <w:bCs/>
          <w:color w:val="auto"/>
        </w:rPr>
        <w:t xml:space="preserve">” in May 2012 (on file in the Academic Affairs Office). </w:t>
      </w:r>
      <w:r w:rsidRPr="005A34BC">
        <w:rPr>
          <w:color w:val="auto"/>
        </w:rPr>
        <w:t>Per Florida statute, students who obtain a minimum score of three on an AP exam are guaranteed credit for the corresponding general education college-level course and to have that credit transfer and apply to all institutions’</w:t>
      </w:r>
      <w:r w:rsidR="007C6A8C">
        <w:rPr>
          <w:color w:val="auto"/>
        </w:rPr>
        <w:t xml:space="preserve"> equivalent</w:t>
      </w:r>
      <w:r w:rsidRPr="005A34BC">
        <w:rPr>
          <w:color w:val="auto"/>
        </w:rPr>
        <w:t xml:space="preserve"> general education requirements. Prior to this legislation, and as in Colorado currently, there were concerns regarding student preparation for subsequent coursework with AP exam scores of three. </w:t>
      </w:r>
      <w:r w:rsidRPr="005A34BC">
        <w:rPr>
          <w:bCs/>
          <w:color w:val="auto"/>
        </w:rPr>
        <w:t xml:space="preserve">Bouck </w:t>
      </w:r>
      <w:r w:rsidRPr="005A34BC">
        <w:rPr>
          <w:color w:val="auto"/>
        </w:rPr>
        <w:t>analyzed performance in subsequent coursework for students earning credit through AP exams. He reports:</w:t>
      </w:r>
    </w:p>
    <w:p w:rsidR="006D48D7" w:rsidRPr="006B3B95" w:rsidRDefault="006D48D7" w:rsidP="006D48D7">
      <w:pPr>
        <w:jc w:val="both"/>
        <w:outlineLvl w:val="0"/>
        <w:rPr>
          <w:sz w:val="24"/>
        </w:rPr>
      </w:pPr>
    </w:p>
    <w:p w:rsidR="006D48D7" w:rsidRPr="006B3B95" w:rsidRDefault="006D48D7" w:rsidP="006D48D7">
      <w:pPr>
        <w:ind w:left="576" w:right="432"/>
        <w:jc w:val="both"/>
        <w:outlineLvl w:val="0"/>
        <w:rPr>
          <w:sz w:val="24"/>
        </w:rPr>
      </w:pPr>
      <w:r w:rsidRPr="006B3B95">
        <w:rPr>
          <w:sz w:val="24"/>
        </w:rPr>
        <w:t xml:space="preserve">Students who complete Advanced Placement examinations with a score of three to five generally achieve at least passing scores in subsequent coursework. AP student grade point averages in subsequent coursework are generally higher than the grade point averages of students who complete the equivalent course in class, and then complete the subsequent course. These data indicate that no changes are needed to the Advanced Placement </w:t>
      </w:r>
      <w:r>
        <w:rPr>
          <w:sz w:val="24"/>
        </w:rPr>
        <w:t>[state policy that sets 3 as the minimum score]…</w:t>
      </w:r>
      <w:r w:rsidRPr="006B3B95">
        <w:rPr>
          <w:sz w:val="24"/>
        </w:rPr>
        <w:t>based solely on student performance in subsequent coursework.</w:t>
      </w:r>
      <w:r>
        <w:rPr>
          <w:sz w:val="24"/>
        </w:rPr>
        <w:t xml:space="preserve"> (p. 1)</w:t>
      </w:r>
    </w:p>
    <w:p w:rsidR="006D48D7" w:rsidRDefault="006D48D7" w:rsidP="006D48D7">
      <w:pPr>
        <w:jc w:val="both"/>
        <w:outlineLvl w:val="0"/>
        <w:rPr>
          <w:sz w:val="24"/>
        </w:rPr>
      </w:pPr>
    </w:p>
    <w:p w:rsidR="006D48D7" w:rsidRDefault="006D48D7" w:rsidP="006D48D7">
      <w:pPr>
        <w:jc w:val="both"/>
        <w:outlineLvl w:val="0"/>
        <w:rPr>
          <w:sz w:val="24"/>
        </w:rPr>
      </w:pPr>
      <w:r>
        <w:rPr>
          <w:sz w:val="24"/>
        </w:rPr>
        <w:t>That is, any impact of setting Florida’s statewide AP exam cut score at 3 was so minimal that it did not necessitate any changes to state policy.</w:t>
      </w:r>
    </w:p>
    <w:p w:rsidR="006D48D7" w:rsidRDefault="006D48D7" w:rsidP="006D48D7">
      <w:pPr>
        <w:jc w:val="both"/>
        <w:outlineLvl w:val="0"/>
        <w:rPr>
          <w:sz w:val="24"/>
        </w:rPr>
      </w:pPr>
    </w:p>
    <w:p w:rsidR="006D48D7" w:rsidRDefault="006D48D7" w:rsidP="006D48D7">
      <w:pPr>
        <w:jc w:val="both"/>
        <w:outlineLvl w:val="0"/>
        <w:rPr>
          <w:i/>
          <w:sz w:val="24"/>
        </w:rPr>
      </w:pPr>
      <w:r>
        <w:rPr>
          <w:i/>
          <w:sz w:val="24"/>
        </w:rPr>
        <w:t xml:space="preserve">Ohio’s Policy and Research </w:t>
      </w:r>
    </w:p>
    <w:p w:rsidR="006D48D7" w:rsidRDefault="006D48D7" w:rsidP="006D48D7">
      <w:pPr>
        <w:autoSpaceDE w:val="0"/>
        <w:autoSpaceDN w:val="0"/>
        <w:adjustRightInd w:val="0"/>
        <w:jc w:val="both"/>
        <w:rPr>
          <w:sz w:val="24"/>
        </w:rPr>
      </w:pPr>
    </w:p>
    <w:p w:rsidR="006D48D7" w:rsidRDefault="006D48D7" w:rsidP="006D48D7">
      <w:pPr>
        <w:autoSpaceDE w:val="0"/>
        <w:autoSpaceDN w:val="0"/>
        <w:adjustRightInd w:val="0"/>
        <w:jc w:val="both"/>
        <w:rPr>
          <w:sz w:val="24"/>
        </w:rPr>
      </w:pPr>
      <w:r>
        <w:rPr>
          <w:sz w:val="24"/>
        </w:rPr>
        <w:t xml:space="preserve">Ohio is another state with a mandated cut score of 3 on AP exams. </w:t>
      </w:r>
      <w:proofErr w:type="spellStart"/>
      <w:r w:rsidRPr="006B3B95">
        <w:rPr>
          <w:sz w:val="24"/>
        </w:rPr>
        <w:t>Shoumi</w:t>
      </w:r>
      <w:proofErr w:type="spellEnd"/>
      <w:r w:rsidRPr="006B3B95">
        <w:rPr>
          <w:sz w:val="24"/>
        </w:rPr>
        <w:t xml:space="preserve"> Mustafa and Paula Compton</w:t>
      </w:r>
      <w:r>
        <w:rPr>
          <w:sz w:val="24"/>
        </w:rPr>
        <w:t>, University System of Ohio, wrote a report titled “</w:t>
      </w:r>
      <w:r w:rsidRPr="006B3B95">
        <w:rPr>
          <w:sz w:val="24"/>
        </w:rPr>
        <w:t>The Advanced Placement (AP) Policy:</w:t>
      </w:r>
      <w:r>
        <w:rPr>
          <w:sz w:val="24"/>
        </w:rPr>
        <w:t xml:space="preserve"> </w:t>
      </w:r>
      <w:r w:rsidRPr="006B3B95">
        <w:rPr>
          <w:sz w:val="24"/>
        </w:rPr>
        <w:t>Impacts on Academic Outcomes at 4-Year Universities</w:t>
      </w:r>
      <w:r>
        <w:rPr>
          <w:sz w:val="24"/>
        </w:rPr>
        <w:t>” in August 2013.</w:t>
      </w:r>
      <w:r w:rsidRPr="006B3B95">
        <w:rPr>
          <w:sz w:val="24"/>
        </w:rPr>
        <w:t xml:space="preserve">  Ohio Board of Regents (OBR) directive 2008-010 to U</w:t>
      </w:r>
      <w:r>
        <w:rPr>
          <w:sz w:val="24"/>
        </w:rPr>
        <w:t>niversity System of Ohio</w:t>
      </w:r>
      <w:r w:rsidRPr="006B3B95">
        <w:rPr>
          <w:sz w:val="24"/>
        </w:rPr>
        <w:t xml:space="preserve"> institutions included the following AP policy </w:t>
      </w:r>
      <w:r>
        <w:rPr>
          <w:sz w:val="24"/>
        </w:rPr>
        <w:t>requirement</w:t>
      </w:r>
      <w:r w:rsidRPr="006B3B95">
        <w:rPr>
          <w:sz w:val="24"/>
        </w:rPr>
        <w:t>:</w:t>
      </w:r>
      <w:r>
        <w:rPr>
          <w:sz w:val="24"/>
        </w:rPr>
        <w:t xml:space="preserve"> “</w:t>
      </w:r>
      <w:r w:rsidRPr="006B3B95">
        <w:rPr>
          <w:sz w:val="24"/>
        </w:rPr>
        <w:t xml:space="preserve">A score of 3 or higher will provide credit at any institution. </w:t>
      </w:r>
      <w:r w:rsidRPr="006B3B95">
        <w:rPr>
          <w:sz w:val="24"/>
        </w:rPr>
        <w:lastRenderedPageBreak/>
        <w:t>The credit must count toward</w:t>
      </w:r>
      <w:r>
        <w:rPr>
          <w:sz w:val="24"/>
        </w:rPr>
        <w:t xml:space="preserve"> </w:t>
      </w:r>
      <w:r w:rsidRPr="006B3B95">
        <w:rPr>
          <w:sz w:val="24"/>
        </w:rPr>
        <w:t>graduation and will meet a general education requirement if the course to which the AP credit is</w:t>
      </w:r>
      <w:r>
        <w:rPr>
          <w:sz w:val="24"/>
        </w:rPr>
        <w:t xml:space="preserve"> </w:t>
      </w:r>
      <w:r w:rsidRPr="006B3B95">
        <w:rPr>
          <w:sz w:val="24"/>
        </w:rPr>
        <w:t>equivalent fulfills a requirement at the receiving institution.</w:t>
      </w:r>
      <w:r>
        <w:rPr>
          <w:sz w:val="24"/>
        </w:rPr>
        <w:t>”</w:t>
      </w:r>
    </w:p>
    <w:p w:rsidR="006D48D7" w:rsidRPr="006B3B95" w:rsidRDefault="006D48D7" w:rsidP="006D48D7">
      <w:pPr>
        <w:autoSpaceDE w:val="0"/>
        <w:autoSpaceDN w:val="0"/>
        <w:adjustRightInd w:val="0"/>
        <w:jc w:val="both"/>
        <w:rPr>
          <w:sz w:val="24"/>
        </w:rPr>
      </w:pPr>
    </w:p>
    <w:p w:rsidR="006D48D7" w:rsidRDefault="006D48D7" w:rsidP="006D48D7">
      <w:pPr>
        <w:autoSpaceDE w:val="0"/>
        <w:autoSpaceDN w:val="0"/>
        <w:adjustRightInd w:val="0"/>
        <w:jc w:val="both"/>
        <w:rPr>
          <w:sz w:val="24"/>
        </w:rPr>
      </w:pPr>
      <w:r>
        <w:rPr>
          <w:sz w:val="24"/>
        </w:rPr>
        <w:t>Mustafa and Compton report:</w:t>
      </w:r>
    </w:p>
    <w:p w:rsidR="006D48D7" w:rsidRDefault="006D48D7" w:rsidP="006D48D7">
      <w:pPr>
        <w:autoSpaceDE w:val="0"/>
        <w:autoSpaceDN w:val="0"/>
        <w:adjustRightInd w:val="0"/>
        <w:jc w:val="both"/>
        <w:rPr>
          <w:sz w:val="24"/>
        </w:rPr>
      </w:pPr>
    </w:p>
    <w:p w:rsidR="006D48D7" w:rsidRDefault="006D48D7" w:rsidP="006D48D7">
      <w:pPr>
        <w:autoSpaceDE w:val="0"/>
        <w:autoSpaceDN w:val="0"/>
        <w:adjustRightInd w:val="0"/>
        <w:ind w:left="576" w:right="432"/>
        <w:jc w:val="both"/>
        <w:rPr>
          <w:sz w:val="24"/>
        </w:rPr>
      </w:pPr>
      <w:r w:rsidRPr="006B3B95">
        <w:rPr>
          <w:sz w:val="24"/>
        </w:rPr>
        <w:t>The AP policy did not influence academic outcomes of AP policy beneficiaries at 4-year university main</w:t>
      </w:r>
      <w:r>
        <w:rPr>
          <w:sz w:val="24"/>
        </w:rPr>
        <w:t xml:space="preserve"> </w:t>
      </w:r>
      <w:r w:rsidRPr="006B3B95">
        <w:rPr>
          <w:sz w:val="24"/>
        </w:rPr>
        <w:t>campuses; estimated policy impacts on GPA, attempted hours, proportion of completed hours, and</w:t>
      </w:r>
      <w:r>
        <w:rPr>
          <w:sz w:val="24"/>
        </w:rPr>
        <w:t xml:space="preserve"> </w:t>
      </w:r>
      <w:r w:rsidRPr="006B3B95">
        <w:rPr>
          <w:sz w:val="24"/>
        </w:rPr>
        <w:t>completion rates in sequential courses were all numerically small and statistically insignificant.</w:t>
      </w:r>
      <w:r>
        <w:rPr>
          <w:sz w:val="24"/>
        </w:rPr>
        <w:t xml:space="preserve"> </w:t>
      </w:r>
      <w:r w:rsidRPr="006B3B95">
        <w:rPr>
          <w:sz w:val="24"/>
        </w:rPr>
        <w:t>Importantly, the no-impact results apply also to separate sub-groups of policy beneficiaries, e.g.,</w:t>
      </w:r>
      <w:r>
        <w:rPr>
          <w:sz w:val="24"/>
        </w:rPr>
        <w:t xml:space="preserve"> </w:t>
      </w:r>
      <w:r w:rsidRPr="006B3B95">
        <w:rPr>
          <w:sz w:val="24"/>
        </w:rPr>
        <w:t>students with AP test scores of 3, 4, and 5, or students attending different USO campuses. These results</w:t>
      </w:r>
      <w:r>
        <w:rPr>
          <w:sz w:val="24"/>
        </w:rPr>
        <w:t xml:space="preserve"> </w:t>
      </w:r>
      <w:r w:rsidRPr="006B3B95">
        <w:rPr>
          <w:sz w:val="24"/>
        </w:rPr>
        <w:t>imply that students receive equivalent learning outcomes with scores of 3, 4, or 5 in an AP test or by</w:t>
      </w:r>
      <w:r>
        <w:rPr>
          <w:sz w:val="24"/>
        </w:rPr>
        <w:t xml:space="preserve"> </w:t>
      </w:r>
      <w:r w:rsidRPr="006B3B95">
        <w:rPr>
          <w:sz w:val="24"/>
        </w:rPr>
        <w:t>completing the corresponding course in a USO 4-year university main campus.</w:t>
      </w:r>
    </w:p>
    <w:p w:rsidR="006D48D7" w:rsidRDefault="006D48D7" w:rsidP="006D48D7">
      <w:pPr>
        <w:autoSpaceDE w:val="0"/>
        <w:autoSpaceDN w:val="0"/>
        <w:adjustRightInd w:val="0"/>
        <w:jc w:val="both"/>
        <w:rPr>
          <w:sz w:val="24"/>
        </w:rPr>
      </w:pPr>
    </w:p>
    <w:p w:rsidR="006D48D7" w:rsidRPr="00FF4553" w:rsidRDefault="006D48D7" w:rsidP="006D48D7">
      <w:pPr>
        <w:autoSpaceDE w:val="0"/>
        <w:autoSpaceDN w:val="0"/>
        <w:adjustRightInd w:val="0"/>
        <w:jc w:val="both"/>
        <w:rPr>
          <w:sz w:val="24"/>
        </w:rPr>
      </w:pPr>
      <w:r w:rsidRPr="00FF4553">
        <w:rPr>
          <w:sz w:val="24"/>
        </w:rPr>
        <w:t>Furthermore, they conclude:</w:t>
      </w:r>
    </w:p>
    <w:p w:rsidR="006D48D7" w:rsidRPr="00FF4553" w:rsidRDefault="006D48D7" w:rsidP="006D48D7">
      <w:pPr>
        <w:autoSpaceDE w:val="0"/>
        <w:autoSpaceDN w:val="0"/>
        <w:adjustRightInd w:val="0"/>
        <w:jc w:val="both"/>
        <w:rPr>
          <w:sz w:val="24"/>
        </w:rPr>
      </w:pPr>
    </w:p>
    <w:p w:rsidR="006D48D7" w:rsidRPr="00FF4553" w:rsidRDefault="006D48D7" w:rsidP="006D48D7">
      <w:pPr>
        <w:autoSpaceDE w:val="0"/>
        <w:autoSpaceDN w:val="0"/>
        <w:adjustRightInd w:val="0"/>
        <w:ind w:left="576" w:right="432"/>
        <w:jc w:val="both"/>
        <w:rPr>
          <w:sz w:val="24"/>
        </w:rPr>
      </w:pPr>
      <w:r w:rsidRPr="00FF4553">
        <w:rPr>
          <w:sz w:val="24"/>
        </w:rPr>
        <w:t>The no-impact result shows that the AP policy did not influence academic outcomes of the beneficiaries of the AP policy, validating the fundamental underpinning of the AP policy that learning outcomes associated with AP test scores of 3, 4 and 5 are equivalent to the learning outcomes associated with the corresponding college courses. The no-impact results also highlight the beneficial role of the AP policy: the guarantee of college credit under the AP policy provides students increased potentials for saving resources, time and money, while their academic standards remain unchanged.</w:t>
      </w:r>
    </w:p>
    <w:p w:rsidR="006D48D7" w:rsidRPr="00FF4553" w:rsidRDefault="006D48D7" w:rsidP="006D48D7">
      <w:pPr>
        <w:jc w:val="both"/>
        <w:outlineLvl w:val="0"/>
        <w:rPr>
          <w:b/>
          <w:sz w:val="24"/>
          <w:u w:val="single"/>
        </w:rPr>
      </w:pPr>
    </w:p>
    <w:p w:rsidR="0028569F" w:rsidRPr="00FF4553" w:rsidRDefault="007C6A8C" w:rsidP="00E20392">
      <w:pPr>
        <w:jc w:val="both"/>
        <w:outlineLvl w:val="0"/>
        <w:rPr>
          <w:sz w:val="24"/>
        </w:rPr>
      </w:pPr>
      <w:r w:rsidRPr="00FF4553">
        <w:rPr>
          <w:sz w:val="24"/>
        </w:rPr>
        <w:t>In sum, the extant research on PLA, including standardized tests with common cut scores, demonstrates that PLA can have a positive impact on student success, degree completion and affordability without sacrificing quality.</w:t>
      </w:r>
    </w:p>
    <w:p w:rsidR="007C6A8C" w:rsidRPr="00FF4553" w:rsidRDefault="007C6A8C" w:rsidP="00E20392">
      <w:pPr>
        <w:jc w:val="both"/>
        <w:outlineLvl w:val="0"/>
        <w:rPr>
          <w:sz w:val="24"/>
        </w:rPr>
      </w:pPr>
    </w:p>
    <w:p w:rsidR="007C6A8C" w:rsidRPr="00FF4553" w:rsidRDefault="007C6A8C" w:rsidP="00E20392">
      <w:pPr>
        <w:jc w:val="both"/>
        <w:outlineLvl w:val="0"/>
        <w:rPr>
          <w:sz w:val="24"/>
        </w:rPr>
      </w:pPr>
    </w:p>
    <w:p w:rsidR="00F74429" w:rsidRPr="00FF4553" w:rsidRDefault="00F74429" w:rsidP="00E20392">
      <w:pPr>
        <w:jc w:val="both"/>
        <w:rPr>
          <w:b/>
          <w:sz w:val="24"/>
        </w:rPr>
      </w:pPr>
      <w:r w:rsidRPr="00FF4553">
        <w:rPr>
          <w:b/>
          <w:sz w:val="24"/>
        </w:rPr>
        <w:t>A Recommendation</w:t>
      </w:r>
    </w:p>
    <w:p w:rsidR="00FF4553" w:rsidRPr="00FF4553" w:rsidRDefault="00FF4553" w:rsidP="00FF4553">
      <w:pPr>
        <w:jc w:val="both"/>
        <w:outlineLvl w:val="0"/>
        <w:rPr>
          <w:sz w:val="24"/>
        </w:rPr>
      </w:pPr>
    </w:p>
    <w:p w:rsidR="00FF4553" w:rsidRPr="00FF4553" w:rsidRDefault="00FF4553" w:rsidP="00FF4553">
      <w:pPr>
        <w:jc w:val="both"/>
        <w:outlineLvl w:val="0"/>
        <w:rPr>
          <w:i/>
          <w:sz w:val="24"/>
        </w:rPr>
      </w:pPr>
      <w:r w:rsidRPr="00FF4553">
        <w:rPr>
          <w:i/>
          <w:sz w:val="24"/>
        </w:rPr>
        <w:t>PLA and Colorado</w:t>
      </w:r>
    </w:p>
    <w:p w:rsidR="00FF4553" w:rsidRPr="00FF4553" w:rsidRDefault="00FF4553" w:rsidP="00FF4553">
      <w:pPr>
        <w:jc w:val="both"/>
        <w:outlineLvl w:val="0"/>
        <w:rPr>
          <w:i/>
          <w:sz w:val="24"/>
        </w:rPr>
      </w:pPr>
    </w:p>
    <w:p w:rsidR="00FF4553" w:rsidRPr="00FF4553" w:rsidRDefault="00FF4553" w:rsidP="00FF4553">
      <w:pPr>
        <w:jc w:val="both"/>
        <w:outlineLvl w:val="0"/>
        <w:rPr>
          <w:sz w:val="24"/>
        </w:rPr>
      </w:pPr>
      <w:r w:rsidRPr="00FF4553">
        <w:rPr>
          <w:sz w:val="24"/>
        </w:rPr>
        <w:t xml:space="preserve">In furtherance of the Commission’s Master Plan Goals 1 &amp; 3 to increase degree completion and close achievement gaps, the Academic Council (AC) and CDHE </w:t>
      </w:r>
      <w:proofErr w:type="gramStart"/>
      <w:r w:rsidRPr="00FF4553">
        <w:rPr>
          <w:sz w:val="24"/>
        </w:rPr>
        <w:t>staff recommend</w:t>
      </w:r>
      <w:proofErr w:type="gramEnd"/>
      <w:r w:rsidRPr="00FF4553">
        <w:rPr>
          <w:sz w:val="24"/>
        </w:rPr>
        <w:t xml:space="preserve"> a phased process to establish consistency where possible for purposes of student transfer of gtPathways equivalencies; followed by a more in-depth study of policies and practices surrounding Prior Learning Assessments (PLA) in Colorado. The Department, stakeholder councils, and institutions of higher education in Colorado share the values of: 1) helping students, families and advisors understand degree requirements, transfer of credits, pre-collegiate testing and credit options, and the relationship between preparation and student success; 2) promoting and supporting timely progress towards graduation across the state </w:t>
      </w:r>
      <w:r w:rsidR="00D4397C">
        <w:rPr>
          <w:sz w:val="24"/>
        </w:rPr>
        <w:t>institutions</w:t>
      </w:r>
      <w:r w:rsidRPr="00FF4553">
        <w:rPr>
          <w:sz w:val="24"/>
        </w:rPr>
        <w:t xml:space="preserve"> of public higher education; and 3) understanding student success holistically, not only to assist students in reaching their full human potential, but to build our economy. The Department staff has presented research indicating that PLA, in some instances, may encourage timely graduation for specific populations of students. However, PLA must be applied in a way that supports the degree</w:t>
      </w:r>
      <w:r w:rsidR="00D4397C">
        <w:rPr>
          <w:sz w:val="24"/>
        </w:rPr>
        <w:t xml:space="preserve"> and</w:t>
      </w:r>
      <w:r w:rsidRPr="00FF4553">
        <w:rPr>
          <w:sz w:val="24"/>
        </w:rPr>
        <w:t xml:space="preserve"> the students’ educational goals, and ensures adequate preparation for subsequent </w:t>
      </w:r>
      <w:r w:rsidRPr="00FF4553">
        <w:rPr>
          <w:sz w:val="24"/>
        </w:rPr>
        <w:lastRenderedPageBreak/>
        <w:t>coursework.  With these values in mind, AC and staff recommend that the Commission set the following process goal regarding Prior Learning Assessment (PLA):</w:t>
      </w:r>
    </w:p>
    <w:p w:rsidR="00FF4553" w:rsidRPr="00FF4553" w:rsidRDefault="00FF4553" w:rsidP="00FF4553">
      <w:pPr>
        <w:jc w:val="both"/>
        <w:outlineLvl w:val="0"/>
        <w:rPr>
          <w:i/>
          <w:sz w:val="24"/>
        </w:rPr>
      </w:pPr>
    </w:p>
    <w:p w:rsidR="00FF4553" w:rsidRPr="00FF4553" w:rsidRDefault="00FF4553" w:rsidP="00FF4553">
      <w:pPr>
        <w:jc w:val="both"/>
        <w:outlineLvl w:val="0"/>
        <w:rPr>
          <w:sz w:val="24"/>
        </w:rPr>
      </w:pPr>
      <w:r w:rsidRPr="00FF4553">
        <w:rPr>
          <w:b/>
          <w:sz w:val="24"/>
        </w:rPr>
        <w:t>Process Goal:</w:t>
      </w:r>
      <w:r w:rsidRPr="00FF4553">
        <w:rPr>
          <w:sz w:val="24"/>
        </w:rPr>
        <w:t xml:space="preserve"> Thoroughly examine the current spectrum of PLA practice in Colorado. Within given statutory role and mission, identify the types of PLA most important to meeting the Colorado Competes goals. The overall goal is to: support student success with appropriate improvements to institutional PLA policies, greatly improve transparency and communication of policies to all stakeholders; ensure that PLA credits earned at one public institution will be accepted in transfer and enable students to fulfill </w:t>
      </w:r>
      <w:r w:rsidR="00D4397C">
        <w:rPr>
          <w:sz w:val="24"/>
        </w:rPr>
        <w:t xml:space="preserve">eligible </w:t>
      </w:r>
      <w:r w:rsidRPr="00FF4553">
        <w:rPr>
          <w:sz w:val="24"/>
        </w:rPr>
        <w:t xml:space="preserve">equivalent gtPathways categories at any receiving public institution. Application of PLA credit toward major requirements will be examined as part of a discipline-based faculty review process at each </w:t>
      </w:r>
      <w:r w:rsidR="00D4397C">
        <w:rPr>
          <w:sz w:val="24"/>
        </w:rPr>
        <w:t xml:space="preserve">receiving </w:t>
      </w:r>
      <w:r w:rsidRPr="00FF4553">
        <w:rPr>
          <w:sz w:val="24"/>
        </w:rPr>
        <w:t>institution.  Institutions will work holistically to maximize student success from PLA.</w:t>
      </w:r>
    </w:p>
    <w:p w:rsidR="00FF4553" w:rsidRPr="00FF4553" w:rsidRDefault="00FF4553" w:rsidP="00FF4553">
      <w:pPr>
        <w:jc w:val="both"/>
        <w:outlineLvl w:val="0"/>
        <w:rPr>
          <w:sz w:val="24"/>
        </w:rPr>
      </w:pPr>
    </w:p>
    <w:p w:rsidR="00FF4553" w:rsidRPr="00FF4553" w:rsidRDefault="00FF4553" w:rsidP="00FF4553">
      <w:pPr>
        <w:jc w:val="both"/>
        <w:outlineLvl w:val="0"/>
        <w:rPr>
          <w:sz w:val="24"/>
        </w:rPr>
      </w:pPr>
      <w:r w:rsidRPr="00FF4553">
        <w:rPr>
          <w:b/>
          <w:sz w:val="24"/>
        </w:rPr>
        <w:t>Implementation</w:t>
      </w:r>
    </w:p>
    <w:p w:rsidR="00FF4553" w:rsidRPr="00FF4553" w:rsidRDefault="00FF4553" w:rsidP="00FF4553">
      <w:pPr>
        <w:jc w:val="both"/>
        <w:outlineLvl w:val="0"/>
        <w:rPr>
          <w:sz w:val="24"/>
        </w:rPr>
      </w:pPr>
    </w:p>
    <w:p w:rsidR="00FF4553" w:rsidRPr="00FF4553" w:rsidRDefault="00FF4553" w:rsidP="00FF4553">
      <w:pPr>
        <w:jc w:val="both"/>
        <w:outlineLvl w:val="0"/>
        <w:rPr>
          <w:sz w:val="24"/>
        </w:rPr>
      </w:pPr>
      <w:r w:rsidRPr="00FF4553">
        <w:rPr>
          <w:sz w:val="24"/>
        </w:rPr>
        <w:t>The implementation will be driven by goals and associated tasks. The tasks will be guided by the Academic and General Education Councils with support from the CDHE and will involve significant input from disciplinary faculty and other stakeholders. The tasks outlined below serve as the starting point, but may be refined as the project evolves. Academic and General Education Councils will collaborate with CDHE to develop the timeline for these tasks.</w:t>
      </w:r>
    </w:p>
    <w:p w:rsidR="00FF4553" w:rsidRPr="00FF4553" w:rsidRDefault="00FF4553" w:rsidP="00FF4553">
      <w:pPr>
        <w:jc w:val="both"/>
        <w:outlineLvl w:val="0"/>
        <w:rPr>
          <w:sz w:val="24"/>
        </w:rPr>
      </w:pPr>
    </w:p>
    <w:p w:rsidR="00FF4553" w:rsidRPr="00FF4553" w:rsidRDefault="00FF4553" w:rsidP="00FF4553">
      <w:pPr>
        <w:spacing w:after="120"/>
        <w:jc w:val="both"/>
        <w:outlineLvl w:val="0"/>
        <w:rPr>
          <w:sz w:val="24"/>
        </w:rPr>
      </w:pPr>
      <w:r w:rsidRPr="00FF4553">
        <w:rPr>
          <w:b/>
          <w:sz w:val="24"/>
        </w:rPr>
        <w:t>Phase 1: Establish a PLA policy that guarantees the 1) transferability of credit within the gtPathways curriculum for purposes of fulfilling general education requirements and 2) transferability of credit based on Portfolio Assessment and published guides with application to general education degree requirements and 3) without the need for students to resubmit test scores or other documentation.</w:t>
      </w:r>
      <w:r w:rsidRPr="00FF4553">
        <w:rPr>
          <w:sz w:val="24"/>
        </w:rPr>
        <w:t xml:space="preserve"> </w:t>
      </w:r>
    </w:p>
    <w:p w:rsidR="00FF4553" w:rsidRPr="00FF4553" w:rsidRDefault="00FF4553" w:rsidP="00FF4553">
      <w:pPr>
        <w:jc w:val="both"/>
        <w:outlineLvl w:val="0"/>
        <w:rPr>
          <w:sz w:val="24"/>
        </w:rPr>
      </w:pPr>
    </w:p>
    <w:p w:rsidR="00FF4553" w:rsidRPr="00FF4553" w:rsidRDefault="00FF4553" w:rsidP="00FF4553">
      <w:pPr>
        <w:ind w:left="360"/>
        <w:jc w:val="both"/>
        <w:outlineLvl w:val="0"/>
        <w:rPr>
          <w:b/>
          <w:sz w:val="24"/>
        </w:rPr>
      </w:pPr>
      <w:r w:rsidRPr="00FF4553">
        <w:rPr>
          <w:b/>
          <w:sz w:val="24"/>
        </w:rPr>
        <w:t>Goal 1:</w:t>
      </w:r>
      <w:r w:rsidRPr="00FF4553">
        <w:rPr>
          <w:sz w:val="24"/>
        </w:rPr>
        <w:t xml:space="preserve"> Establish common cut scores for standardized assessments, such as AP, CLEP, DSST and IB, and follow ACE’s recommended amount of military and workforce credit, for purposes of creating transferability among public institutions for credits to be applied toward fulfillment of gtPathways curriculum categories.  For example, if a student earns a 3 on the AP English Language and Composition exam, that student will have fulfilled the GT-C01 category of gtPathways at any public institution of higher education in Colorado.  The receiving institution would determine the exact course equivalency depending on courses that are used to fulfill the GT-C01 requirement at that institu</w:t>
      </w:r>
      <w:r w:rsidR="00633FC2">
        <w:rPr>
          <w:sz w:val="24"/>
        </w:rPr>
        <w:t xml:space="preserve">tion.  (See Appendix </w:t>
      </w:r>
      <w:r w:rsidR="00782371">
        <w:rPr>
          <w:sz w:val="24"/>
        </w:rPr>
        <w:t>E</w:t>
      </w:r>
      <w:r w:rsidRPr="00FF4553">
        <w:rPr>
          <w:sz w:val="24"/>
        </w:rPr>
        <w:t>: Sample Format for Standardized Exam Cut Scores).</w:t>
      </w:r>
      <w:r w:rsidRPr="00FF4553">
        <w:rPr>
          <w:b/>
          <w:sz w:val="24"/>
        </w:rPr>
        <w:t xml:space="preserve"> </w:t>
      </w:r>
      <w:r w:rsidRPr="00FF4553">
        <w:rPr>
          <w:sz w:val="24"/>
        </w:rPr>
        <w:t>(Responsible group – individual institutions</w:t>
      </w:r>
      <w:r w:rsidR="00D4397C">
        <w:rPr>
          <w:sz w:val="24"/>
        </w:rPr>
        <w:t>, faculty discipline experts, guided by General Education Council and/or Academic Council</w:t>
      </w:r>
      <w:r w:rsidRPr="00FF4553">
        <w:rPr>
          <w:sz w:val="24"/>
        </w:rPr>
        <w:t>)</w:t>
      </w:r>
    </w:p>
    <w:p w:rsidR="00FF4553" w:rsidRPr="00FF4553" w:rsidRDefault="00FF4553" w:rsidP="00FF4553">
      <w:pPr>
        <w:ind w:left="360"/>
        <w:jc w:val="both"/>
        <w:outlineLvl w:val="0"/>
        <w:rPr>
          <w:b/>
          <w:color w:val="FF0000"/>
          <w:sz w:val="24"/>
        </w:rPr>
      </w:pPr>
    </w:p>
    <w:p w:rsidR="00FF4553" w:rsidRPr="00FF4553" w:rsidRDefault="00FF4553" w:rsidP="00FF4553">
      <w:pPr>
        <w:ind w:left="360"/>
        <w:jc w:val="both"/>
        <w:outlineLvl w:val="0"/>
        <w:rPr>
          <w:sz w:val="24"/>
        </w:rPr>
      </w:pPr>
      <w:r w:rsidRPr="00FF4553">
        <w:rPr>
          <w:sz w:val="24"/>
        </w:rPr>
        <w:t xml:space="preserve">The following institutions: </w:t>
      </w:r>
    </w:p>
    <w:p w:rsidR="007E2147" w:rsidRDefault="007E2147" w:rsidP="00FF4553">
      <w:pPr>
        <w:pStyle w:val="ListParagraph"/>
        <w:numPr>
          <w:ilvl w:val="0"/>
          <w:numId w:val="47"/>
        </w:numPr>
        <w:ind w:left="1080"/>
        <w:jc w:val="both"/>
        <w:outlineLvl w:val="0"/>
        <w:rPr>
          <w:rFonts w:ascii="Times New Roman" w:hAnsi="Times New Roman"/>
          <w:sz w:val="24"/>
          <w:szCs w:val="24"/>
        </w:rPr>
      </w:pPr>
      <w:r>
        <w:rPr>
          <w:rFonts w:ascii="Times New Roman" w:hAnsi="Times New Roman"/>
          <w:sz w:val="24"/>
          <w:szCs w:val="24"/>
        </w:rPr>
        <w:t>Colorado Community College System (13)</w:t>
      </w:r>
    </w:p>
    <w:p w:rsidR="00FF4553" w:rsidRPr="00FF4553" w:rsidRDefault="00FF4553" w:rsidP="00FF4553">
      <w:pPr>
        <w:pStyle w:val="ListParagraph"/>
        <w:numPr>
          <w:ilvl w:val="0"/>
          <w:numId w:val="47"/>
        </w:numPr>
        <w:ind w:left="1080"/>
        <w:jc w:val="both"/>
        <w:outlineLvl w:val="0"/>
        <w:rPr>
          <w:rFonts w:ascii="Times New Roman" w:hAnsi="Times New Roman"/>
          <w:sz w:val="24"/>
          <w:szCs w:val="24"/>
        </w:rPr>
      </w:pPr>
      <w:r w:rsidRPr="00FF4553">
        <w:rPr>
          <w:rFonts w:ascii="Times New Roman" w:hAnsi="Times New Roman"/>
          <w:sz w:val="24"/>
          <w:szCs w:val="24"/>
        </w:rPr>
        <w:t>Fort Lewis College</w:t>
      </w:r>
    </w:p>
    <w:p w:rsidR="00FF4553" w:rsidRPr="00FF4553" w:rsidRDefault="00FF4553" w:rsidP="00FF4553">
      <w:pPr>
        <w:pStyle w:val="ListParagraph"/>
        <w:numPr>
          <w:ilvl w:val="0"/>
          <w:numId w:val="47"/>
        </w:numPr>
        <w:ind w:left="1080"/>
        <w:jc w:val="both"/>
        <w:outlineLvl w:val="0"/>
        <w:rPr>
          <w:rFonts w:ascii="Times New Roman" w:hAnsi="Times New Roman"/>
          <w:sz w:val="24"/>
          <w:szCs w:val="24"/>
        </w:rPr>
      </w:pPr>
      <w:r w:rsidRPr="00FF4553">
        <w:rPr>
          <w:rFonts w:ascii="Times New Roman" w:hAnsi="Times New Roman"/>
          <w:sz w:val="24"/>
          <w:szCs w:val="24"/>
        </w:rPr>
        <w:t>Adams State University</w:t>
      </w:r>
    </w:p>
    <w:p w:rsidR="00FF4553" w:rsidRPr="00FF4553" w:rsidRDefault="00FF4553" w:rsidP="00FF4553">
      <w:pPr>
        <w:pStyle w:val="ListParagraph"/>
        <w:numPr>
          <w:ilvl w:val="0"/>
          <w:numId w:val="47"/>
        </w:numPr>
        <w:ind w:left="1080"/>
        <w:jc w:val="both"/>
        <w:outlineLvl w:val="0"/>
        <w:rPr>
          <w:rFonts w:ascii="Times New Roman" w:hAnsi="Times New Roman"/>
          <w:sz w:val="24"/>
          <w:szCs w:val="24"/>
        </w:rPr>
      </w:pPr>
      <w:r w:rsidRPr="00FF4553">
        <w:rPr>
          <w:rFonts w:ascii="Times New Roman" w:hAnsi="Times New Roman"/>
          <w:sz w:val="24"/>
          <w:szCs w:val="24"/>
        </w:rPr>
        <w:t>Western State Colorado University</w:t>
      </w:r>
    </w:p>
    <w:p w:rsidR="00FF4553" w:rsidRPr="00FF4553" w:rsidRDefault="00FF4553" w:rsidP="00FF4553">
      <w:pPr>
        <w:pStyle w:val="ListParagraph"/>
        <w:numPr>
          <w:ilvl w:val="0"/>
          <w:numId w:val="47"/>
        </w:numPr>
        <w:ind w:left="1080"/>
        <w:jc w:val="both"/>
        <w:outlineLvl w:val="0"/>
        <w:rPr>
          <w:rFonts w:ascii="Times New Roman" w:hAnsi="Times New Roman"/>
          <w:sz w:val="24"/>
          <w:szCs w:val="24"/>
        </w:rPr>
      </w:pPr>
      <w:r w:rsidRPr="00FF4553">
        <w:rPr>
          <w:rFonts w:ascii="Times New Roman" w:hAnsi="Times New Roman"/>
          <w:sz w:val="24"/>
          <w:szCs w:val="24"/>
        </w:rPr>
        <w:t>Metropolitan State University of Denver</w:t>
      </w:r>
    </w:p>
    <w:p w:rsidR="00FF4553" w:rsidRPr="00FF4553" w:rsidRDefault="00FF4553" w:rsidP="00FF4553">
      <w:pPr>
        <w:pStyle w:val="ListParagraph"/>
        <w:numPr>
          <w:ilvl w:val="0"/>
          <w:numId w:val="47"/>
        </w:numPr>
        <w:ind w:left="1080"/>
        <w:jc w:val="both"/>
        <w:outlineLvl w:val="0"/>
        <w:rPr>
          <w:rFonts w:ascii="Times New Roman" w:hAnsi="Times New Roman"/>
          <w:sz w:val="24"/>
          <w:szCs w:val="24"/>
        </w:rPr>
      </w:pPr>
      <w:r w:rsidRPr="00FF4553">
        <w:rPr>
          <w:rFonts w:ascii="Times New Roman" w:hAnsi="Times New Roman"/>
          <w:sz w:val="24"/>
          <w:szCs w:val="24"/>
        </w:rPr>
        <w:t>Colorado State University – Global Campus</w:t>
      </w:r>
    </w:p>
    <w:p w:rsidR="00FF4553" w:rsidRPr="00FF4553" w:rsidRDefault="00FF4553" w:rsidP="00FF4553">
      <w:pPr>
        <w:pStyle w:val="ListParagraph"/>
        <w:numPr>
          <w:ilvl w:val="0"/>
          <w:numId w:val="47"/>
        </w:numPr>
        <w:ind w:left="1080"/>
        <w:jc w:val="both"/>
        <w:outlineLvl w:val="0"/>
        <w:rPr>
          <w:rFonts w:ascii="Times New Roman" w:hAnsi="Times New Roman"/>
          <w:sz w:val="24"/>
          <w:szCs w:val="24"/>
        </w:rPr>
      </w:pPr>
      <w:r w:rsidRPr="00FF4553">
        <w:rPr>
          <w:rFonts w:ascii="Times New Roman" w:hAnsi="Times New Roman"/>
          <w:sz w:val="24"/>
          <w:szCs w:val="24"/>
        </w:rPr>
        <w:t>Col</w:t>
      </w:r>
      <w:r w:rsidR="00BB2E12">
        <w:rPr>
          <w:rFonts w:ascii="Times New Roman" w:hAnsi="Times New Roman"/>
          <w:sz w:val="24"/>
          <w:szCs w:val="24"/>
        </w:rPr>
        <w:t>orado State University – Pueblo</w:t>
      </w:r>
    </w:p>
    <w:p w:rsidR="00FF4553" w:rsidRPr="00FF4553" w:rsidRDefault="00FF4553" w:rsidP="00FF4553">
      <w:pPr>
        <w:ind w:left="360"/>
        <w:jc w:val="both"/>
        <w:outlineLvl w:val="0"/>
        <w:rPr>
          <w:sz w:val="24"/>
        </w:rPr>
      </w:pPr>
      <w:proofErr w:type="gramStart"/>
      <w:r w:rsidRPr="00FF4553">
        <w:rPr>
          <w:sz w:val="24"/>
        </w:rPr>
        <w:lastRenderedPageBreak/>
        <w:t>have</w:t>
      </w:r>
      <w:proofErr w:type="gramEnd"/>
      <w:r w:rsidRPr="00FF4553">
        <w:rPr>
          <w:sz w:val="24"/>
        </w:rPr>
        <w:t xml:space="preserve"> agreed to present faculty with and work toward acceptance of the following cut scores for gtPathways/general education credit:</w:t>
      </w:r>
    </w:p>
    <w:p w:rsidR="00FF4553" w:rsidRPr="00FF4553" w:rsidRDefault="00FF4553" w:rsidP="00FF4553">
      <w:pPr>
        <w:pStyle w:val="ListParagraph"/>
        <w:numPr>
          <w:ilvl w:val="0"/>
          <w:numId w:val="48"/>
        </w:numPr>
        <w:ind w:left="1080"/>
        <w:jc w:val="both"/>
        <w:outlineLvl w:val="0"/>
        <w:rPr>
          <w:rFonts w:ascii="Times New Roman" w:hAnsi="Times New Roman"/>
          <w:sz w:val="24"/>
          <w:szCs w:val="24"/>
        </w:rPr>
      </w:pPr>
      <w:r w:rsidRPr="00FF4553">
        <w:rPr>
          <w:rFonts w:ascii="Times New Roman" w:hAnsi="Times New Roman"/>
          <w:sz w:val="24"/>
          <w:szCs w:val="24"/>
        </w:rPr>
        <w:t>AP – 3</w:t>
      </w:r>
    </w:p>
    <w:p w:rsidR="00FF4553" w:rsidRPr="00FF4553" w:rsidRDefault="00FF4553" w:rsidP="00FF4553">
      <w:pPr>
        <w:pStyle w:val="ListParagraph"/>
        <w:numPr>
          <w:ilvl w:val="0"/>
          <w:numId w:val="48"/>
        </w:numPr>
        <w:ind w:left="1080"/>
        <w:jc w:val="both"/>
        <w:outlineLvl w:val="0"/>
        <w:rPr>
          <w:rFonts w:ascii="Times New Roman" w:hAnsi="Times New Roman"/>
          <w:sz w:val="24"/>
          <w:szCs w:val="24"/>
        </w:rPr>
      </w:pPr>
      <w:r w:rsidRPr="00FF4553">
        <w:rPr>
          <w:rFonts w:ascii="Times New Roman" w:hAnsi="Times New Roman"/>
          <w:sz w:val="24"/>
          <w:szCs w:val="24"/>
        </w:rPr>
        <w:t>IB – 4</w:t>
      </w:r>
    </w:p>
    <w:p w:rsidR="00FF4553" w:rsidRPr="00FF4553" w:rsidRDefault="00FF4553" w:rsidP="00FF4553">
      <w:pPr>
        <w:pStyle w:val="ListParagraph"/>
        <w:numPr>
          <w:ilvl w:val="0"/>
          <w:numId w:val="48"/>
        </w:numPr>
        <w:ind w:left="1080"/>
        <w:jc w:val="both"/>
        <w:outlineLvl w:val="0"/>
        <w:rPr>
          <w:rFonts w:ascii="Times New Roman" w:hAnsi="Times New Roman"/>
          <w:sz w:val="24"/>
          <w:szCs w:val="24"/>
        </w:rPr>
      </w:pPr>
      <w:r w:rsidRPr="00FF4553">
        <w:rPr>
          <w:rFonts w:ascii="Times New Roman" w:hAnsi="Times New Roman"/>
          <w:sz w:val="24"/>
          <w:szCs w:val="24"/>
        </w:rPr>
        <w:t>CLEP – ACE recommended cut scores</w:t>
      </w:r>
    </w:p>
    <w:p w:rsidR="00FF4553" w:rsidRPr="00FF4553" w:rsidRDefault="00FF4553" w:rsidP="00FF4553">
      <w:pPr>
        <w:pStyle w:val="ListParagraph"/>
        <w:numPr>
          <w:ilvl w:val="0"/>
          <w:numId w:val="48"/>
        </w:numPr>
        <w:ind w:left="1080"/>
        <w:jc w:val="both"/>
        <w:outlineLvl w:val="0"/>
        <w:rPr>
          <w:rFonts w:ascii="Times New Roman" w:hAnsi="Times New Roman"/>
          <w:sz w:val="24"/>
          <w:szCs w:val="24"/>
        </w:rPr>
      </w:pPr>
      <w:r w:rsidRPr="00FF4553">
        <w:rPr>
          <w:rFonts w:ascii="Times New Roman" w:hAnsi="Times New Roman"/>
          <w:sz w:val="24"/>
          <w:szCs w:val="24"/>
        </w:rPr>
        <w:t>DSST – criterion referenced cut scores provided by DSST;</w:t>
      </w:r>
    </w:p>
    <w:p w:rsidR="00FF4553" w:rsidRPr="00FF4553" w:rsidRDefault="00FF4553" w:rsidP="00FF4553">
      <w:pPr>
        <w:ind w:left="360"/>
        <w:jc w:val="both"/>
        <w:outlineLvl w:val="0"/>
        <w:rPr>
          <w:sz w:val="24"/>
        </w:rPr>
      </w:pPr>
      <w:proofErr w:type="gramStart"/>
      <w:r w:rsidRPr="00FF4553">
        <w:rPr>
          <w:sz w:val="24"/>
        </w:rPr>
        <w:t>and</w:t>
      </w:r>
      <w:proofErr w:type="gramEnd"/>
      <w:r w:rsidRPr="00FF4553">
        <w:rPr>
          <w:sz w:val="24"/>
        </w:rPr>
        <w:t xml:space="preserve"> have agreed to work with faculty toward accepting ACE’s recommended military and workforce credit where applicable to gtPathways courses.</w:t>
      </w:r>
    </w:p>
    <w:p w:rsidR="00FF4553" w:rsidRPr="00FF4553" w:rsidRDefault="00FF4553" w:rsidP="00FF4553">
      <w:pPr>
        <w:ind w:left="360"/>
        <w:jc w:val="both"/>
        <w:outlineLvl w:val="0"/>
        <w:rPr>
          <w:b/>
          <w:sz w:val="24"/>
        </w:rPr>
      </w:pPr>
    </w:p>
    <w:p w:rsidR="00FF4553" w:rsidRPr="00FF4553" w:rsidRDefault="00FF4553" w:rsidP="00FF4553">
      <w:pPr>
        <w:ind w:left="360"/>
        <w:jc w:val="both"/>
        <w:outlineLvl w:val="0"/>
        <w:rPr>
          <w:sz w:val="24"/>
        </w:rPr>
      </w:pPr>
      <w:r w:rsidRPr="00FF4553">
        <w:rPr>
          <w:b/>
          <w:sz w:val="24"/>
        </w:rPr>
        <w:t>Goal 2:</w:t>
      </w:r>
      <w:r w:rsidRPr="00FF4553">
        <w:rPr>
          <w:sz w:val="24"/>
        </w:rPr>
        <w:t xml:space="preserve"> </w:t>
      </w:r>
      <w:r w:rsidR="00D4397C">
        <w:rPr>
          <w:sz w:val="24"/>
        </w:rPr>
        <w:t>Integrate into the transfer equivalency process institutional mechanisms</w:t>
      </w:r>
      <w:r w:rsidRPr="00FF4553">
        <w:rPr>
          <w:sz w:val="24"/>
        </w:rPr>
        <w:t xml:space="preserve"> </w:t>
      </w:r>
      <w:r w:rsidR="00D4397C">
        <w:rPr>
          <w:sz w:val="24"/>
        </w:rPr>
        <w:t xml:space="preserve">that allow </w:t>
      </w:r>
      <w:r w:rsidRPr="00FF4553">
        <w:rPr>
          <w:sz w:val="24"/>
        </w:rPr>
        <w:t xml:space="preserve">transfer </w:t>
      </w:r>
      <w:r w:rsidR="00D4397C">
        <w:rPr>
          <w:sz w:val="24"/>
        </w:rPr>
        <w:t xml:space="preserve">of </w:t>
      </w:r>
      <w:r w:rsidRPr="00FF4553">
        <w:rPr>
          <w:sz w:val="24"/>
        </w:rPr>
        <w:t xml:space="preserve">credit that has been awarded by another institution based on Portfolio Assessment and apply that credit to appropriate general education degree requirements. </w:t>
      </w:r>
      <w:r w:rsidR="009D27FC">
        <w:rPr>
          <w:sz w:val="24"/>
        </w:rPr>
        <w:t>(Responsible group – individual institutions)</w:t>
      </w:r>
    </w:p>
    <w:p w:rsidR="00FF4553" w:rsidRPr="00FF4553" w:rsidRDefault="00FF4553" w:rsidP="00FF4553">
      <w:pPr>
        <w:ind w:left="360"/>
        <w:jc w:val="both"/>
        <w:outlineLvl w:val="0"/>
        <w:rPr>
          <w:sz w:val="24"/>
        </w:rPr>
      </w:pPr>
    </w:p>
    <w:p w:rsidR="00FF4553" w:rsidRPr="00FF4553" w:rsidRDefault="00FF4553" w:rsidP="00FF4553">
      <w:pPr>
        <w:ind w:left="360"/>
        <w:jc w:val="both"/>
        <w:outlineLvl w:val="0"/>
        <w:rPr>
          <w:sz w:val="24"/>
        </w:rPr>
      </w:pPr>
      <w:r w:rsidRPr="00FF4553">
        <w:rPr>
          <w:b/>
          <w:sz w:val="24"/>
        </w:rPr>
        <w:t>Goal 3: C</w:t>
      </w:r>
      <w:r w:rsidRPr="00FF4553">
        <w:rPr>
          <w:sz w:val="24"/>
        </w:rPr>
        <w:t>onsistent with §23-1-125(4), C.R.S., each public institution defines a process to test out of a course “including specifying use of a national test or the criteria for approving institutionally devised tests.”  (Responsible group – individual institutions</w:t>
      </w:r>
      <w:r w:rsidR="00D4397C">
        <w:rPr>
          <w:sz w:val="24"/>
        </w:rPr>
        <w:t xml:space="preserve"> and GEC</w:t>
      </w:r>
      <w:r w:rsidRPr="00FF4553">
        <w:rPr>
          <w:sz w:val="24"/>
        </w:rPr>
        <w:t>)</w:t>
      </w:r>
    </w:p>
    <w:p w:rsidR="00FF4553" w:rsidRPr="00FF4553" w:rsidRDefault="00FF4553" w:rsidP="00FF4553">
      <w:pPr>
        <w:ind w:left="720"/>
        <w:jc w:val="both"/>
        <w:outlineLvl w:val="0"/>
        <w:rPr>
          <w:b/>
          <w:sz w:val="24"/>
        </w:rPr>
      </w:pPr>
    </w:p>
    <w:p w:rsidR="00FF4553" w:rsidRPr="00FF4553" w:rsidRDefault="00FF4553" w:rsidP="00FF4553">
      <w:pPr>
        <w:ind w:left="864"/>
        <w:jc w:val="both"/>
        <w:outlineLvl w:val="0"/>
        <w:rPr>
          <w:sz w:val="24"/>
        </w:rPr>
      </w:pPr>
      <w:r w:rsidRPr="00FF4553">
        <w:rPr>
          <w:b/>
          <w:sz w:val="24"/>
        </w:rPr>
        <w:t xml:space="preserve">Task 1: </w:t>
      </w:r>
      <w:r w:rsidRPr="00FF4553">
        <w:rPr>
          <w:sz w:val="24"/>
        </w:rPr>
        <w:t xml:space="preserve">Institutions share best practices, costs and challenges.  </w:t>
      </w:r>
    </w:p>
    <w:p w:rsidR="00FF4553" w:rsidRPr="00FF4553" w:rsidRDefault="00FF4553" w:rsidP="00FF4553">
      <w:pPr>
        <w:ind w:left="864"/>
        <w:jc w:val="both"/>
        <w:outlineLvl w:val="0"/>
        <w:rPr>
          <w:sz w:val="24"/>
        </w:rPr>
      </w:pPr>
    </w:p>
    <w:p w:rsidR="00FF4553" w:rsidRPr="00FF4553" w:rsidRDefault="00FF4553" w:rsidP="00FF4553">
      <w:pPr>
        <w:ind w:left="864"/>
        <w:jc w:val="both"/>
        <w:outlineLvl w:val="0"/>
        <w:rPr>
          <w:sz w:val="24"/>
        </w:rPr>
      </w:pPr>
      <w:r w:rsidRPr="00FF4553">
        <w:rPr>
          <w:b/>
          <w:sz w:val="24"/>
        </w:rPr>
        <w:t xml:space="preserve">Task 2: </w:t>
      </w:r>
      <w:r w:rsidRPr="00FF4553">
        <w:rPr>
          <w:sz w:val="24"/>
        </w:rPr>
        <w:t>Each institution specifies and makes public (CDHE can coordinate for consistency) its policy for complying with §23-1-125(4), C.R.S, which states in part, “…each public institution of higher education shall grant full course credits to students for the core courses [gtPathways/general education] they successfully test out of, free of tuition for those courses.” This will include the ability to test out of and receive credit for all gtPathways requirements (e.g., every category in the 31-cedit gtPathways curriculum).</w:t>
      </w:r>
    </w:p>
    <w:p w:rsidR="00FF4553" w:rsidRPr="00FF4553" w:rsidRDefault="00FF4553" w:rsidP="00FF4553">
      <w:pPr>
        <w:ind w:left="1440"/>
        <w:jc w:val="both"/>
        <w:outlineLvl w:val="0"/>
        <w:rPr>
          <w:sz w:val="24"/>
        </w:rPr>
      </w:pPr>
    </w:p>
    <w:p w:rsidR="00491EC8" w:rsidRPr="00FF4553" w:rsidRDefault="00491EC8" w:rsidP="00491EC8">
      <w:pPr>
        <w:ind w:left="360"/>
        <w:jc w:val="both"/>
        <w:outlineLvl w:val="0"/>
        <w:rPr>
          <w:sz w:val="24"/>
        </w:rPr>
      </w:pPr>
      <w:r w:rsidRPr="00FF4553">
        <w:rPr>
          <w:b/>
          <w:sz w:val="24"/>
        </w:rPr>
        <w:t xml:space="preserve">Goal </w:t>
      </w:r>
      <w:r>
        <w:rPr>
          <w:b/>
          <w:sz w:val="24"/>
        </w:rPr>
        <w:t>4</w:t>
      </w:r>
      <w:r w:rsidRPr="00FF4553">
        <w:rPr>
          <w:b/>
          <w:sz w:val="24"/>
        </w:rPr>
        <w:t>:</w:t>
      </w:r>
      <w:r w:rsidRPr="00FF4553">
        <w:rPr>
          <w:sz w:val="24"/>
        </w:rPr>
        <w:t xml:space="preserve">  Examine the PLA offerings for active military and veterans across Colorado public institutions. Understand on an institutional basis what has supported student military/veteran success. Where appropriate expand/enrich the PLA offerings for military and returning veterans. (Responsible groups – Individual institutions</w:t>
      </w:r>
      <w:r>
        <w:rPr>
          <w:sz w:val="24"/>
        </w:rPr>
        <w:t xml:space="preserve"> and GEC</w:t>
      </w:r>
      <w:r w:rsidRPr="00FF4553">
        <w:rPr>
          <w:sz w:val="24"/>
        </w:rPr>
        <w:t>)</w:t>
      </w:r>
    </w:p>
    <w:p w:rsidR="00491EC8" w:rsidRPr="00FF4553" w:rsidRDefault="00491EC8" w:rsidP="00491EC8">
      <w:pPr>
        <w:ind w:left="720"/>
        <w:jc w:val="both"/>
        <w:outlineLvl w:val="0"/>
        <w:rPr>
          <w:sz w:val="24"/>
        </w:rPr>
      </w:pPr>
    </w:p>
    <w:p w:rsidR="00491EC8" w:rsidRPr="00FF4553" w:rsidRDefault="00491EC8" w:rsidP="00491EC8">
      <w:pPr>
        <w:ind w:left="864"/>
        <w:jc w:val="both"/>
        <w:outlineLvl w:val="0"/>
        <w:rPr>
          <w:sz w:val="24"/>
        </w:rPr>
      </w:pPr>
      <w:r w:rsidRPr="00FF4553">
        <w:rPr>
          <w:b/>
          <w:sz w:val="24"/>
        </w:rPr>
        <w:t xml:space="preserve">Task 1: </w:t>
      </w:r>
      <w:r w:rsidRPr="00FF4553">
        <w:rPr>
          <w:sz w:val="24"/>
        </w:rPr>
        <w:t xml:space="preserve">Gather data from public institutions on programs supporting PLA for veterans, e.g. DSST, ACE military transcripts, together with student performance. See Task 1. </w:t>
      </w:r>
    </w:p>
    <w:p w:rsidR="00491EC8" w:rsidRPr="00FF4553" w:rsidRDefault="00491EC8" w:rsidP="00491EC8">
      <w:pPr>
        <w:ind w:left="864"/>
        <w:jc w:val="both"/>
        <w:outlineLvl w:val="0"/>
        <w:rPr>
          <w:sz w:val="24"/>
        </w:rPr>
      </w:pPr>
    </w:p>
    <w:p w:rsidR="00491EC8" w:rsidRPr="00FF4553" w:rsidRDefault="00491EC8" w:rsidP="00491EC8">
      <w:pPr>
        <w:ind w:left="864"/>
        <w:jc w:val="both"/>
        <w:outlineLvl w:val="0"/>
        <w:rPr>
          <w:sz w:val="24"/>
        </w:rPr>
      </w:pPr>
      <w:r w:rsidRPr="00FF4553">
        <w:rPr>
          <w:b/>
          <w:sz w:val="24"/>
        </w:rPr>
        <w:t xml:space="preserve">Task 2: </w:t>
      </w:r>
      <w:r w:rsidRPr="00FF4553">
        <w:rPr>
          <w:sz w:val="24"/>
        </w:rPr>
        <w:t>Compare Colorado practices with those in other states and analyze where new/modified practices may be appropriate.</w:t>
      </w:r>
    </w:p>
    <w:p w:rsidR="00491EC8" w:rsidRPr="00FF4553" w:rsidRDefault="00491EC8" w:rsidP="00491EC8">
      <w:pPr>
        <w:ind w:left="864"/>
        <w:jc w:val="both"/>
        <w:outlineLvl w:val="0"/>
        <w:rPr>
          <w:sz w:val="24"/>
        </w:rPr>
      </w:pPr>
    </w:p>
    <w:p w:rsidR="00491EC8" w:rsidRPr="00FF4553" w:rsidRDefault="00491EC8" w:rsidP="00491EC8">
      <w:pPr>
        <w:ind w:left="864"/>
        <w:jc w:val="both"/>
        <w:outlineLvl w:val="0"/>
        <w:rPr>
          <w:sz w:val="24"/>
        </w:rPr>
      </w:pPr>
      <w:r w:rsidRPr="00FF4553">
        <w:rPr>
          <w:b/>
          <w:sz w:val="24"/>
        </w:rPr>
        <w:t xml:space="preserve">Task 3: </w:t>
      </w:r>
      <w:r w:rsidRPr="00FF4553">
        <w:rPr>
          <w:sz w:val="24"/>
        </w:rPr>
        <w:t>Based on the data and analysis of Task 1, and 2, develop suggestions for improved PLA offerings for veterans appropriate to institutional admission selectivity and role and mission.</w:t>
      </w:r>
    </w:p>
    <w:p w:rsidR="00491EC8" w:rsidRDefault="00491EC8" w:rsidP="00FF4553">
      <w:pPr>
        <w:spacing w:after="120"/>
        <w:ind w:left="360"/>
        <w:jc w:val="both"/>
        <w:outlineLvl w:val="0"/>
        <w:rPr>
          <w:b/>
          <w:sz w:val="24"/>
        </w:rPr>
      </w:pPr>
    </w:p>
    <w:p w:rsidR="00491EC8" w:rsidRDefault="00491EC8" w:rsidP="00FF4553">
      <w:pPr>
        <w:spacing w:after="120"/>
        <w:ind w:left="360"/>
        <w:jc w:val="both"/>
        <w:outlineLvl w:val="0"/>
        <w:rPr>
          <w:b/>
          <w:sz w:val="24"/>
        </w:rPr>
      </w:pPr>
    </w:p>
    <w:p w:rsidR="00FF4553" w:rsidRPr="00FF4553" w:rsidRDefault="00FF4553" w:rsidP="00FF4553">
      <w:pPr>
        <w:spacing w:after="120"/>
        <w:ind w:left="360"/>
        <w:jc w:val="both"/>
        <w:outlineLvl w:val="0"/>
        <w:rPr>
          <w:color w:val="1A1A1A"/>
          <w:sz w:val="24"/>
        </w:rPr>
      </w:pPr>
      <w:r w:rsidRPr="00FF4553">
        <w:rPr>
          <w:b/>
          <w:sz w:val="24"/>
        </w:rPr>
        <w:lastRenderedPageBreak/>
        <w:t xml:space="preserve">Goal </w:t>
      </w:r>
      <w:r w:rsidR="00491EC8">
        <w:rPr>
          <w:b/>
          <w:sz w:val="24"/>
        </w:rPr>
        <w:t>5</w:t>
      </w:r>
      <w:r w:rsidRPr="00FF4553">
        <w:rPr>
          <w:b/>
          <w:sz w:val="24"/>
        </w:rPr>
        <w:t>:</w:t>
      </w:r>
      <w:r w:rsidRPr="00FF4553">
        <w:rPr>
          <w:sz w:val="24"/>
        </w:rPr>
        <w:t xml:space="preserve"> </w:t>
      </w:r>
      <w:r w:rsidRPr="00FF4553">
        <w:rPr>
          <w:color w:val="1A1A1A"/>
          <w:sz w:val="24"/>
        </w:rPr>
        <w:t>Limit the number of PLA credits accepted by institutions only by the residency requirements of the regional and other accrediting bodies recognized by the U.S. Department of Education.</w:t>
      </w:r>
    </w:p>
    <w:p w:rsidR="00FF4553" w:rsidRPr="00FF4553" w:rsidRDefault="00FF4553" w:rsidP="00FF4553">
      <w:pPr>
        <w:spacing w:after="120"/>
        <w:ind w:left="360"/>
        <w:jc w:val="both"/>
        <w:outlineLvl w:val="0"/>
        <w:rPr>
          <w:sz w:val="24"/>
        </w:rPr>
      </w:pPr>
      <w:r w:rsidRPr="00FF4553">
        <w:rPr>
          <w:b/>
          <w:sz w:val="24"/>
        </w:rPr>
        <w:t xml:space="preserve">Goal </w:t>
      </w:r>
      <w:r w:rsidR="00491EC8">
        <w:rPr>
          <w:b/>
          <w:sz w:val="24"/>
        </w:rPr>
        <w:t>6</w:t>
      </w:r>
      <w:r w:rsidRPr="00FF4553">
        <w:rPr>
          <w:b/>
          <w:sz w:val="24"/>
        </w:rPr>
        <w:t>:</w:t>
      </w:r>
      <w:r w:rsidRPr="00FF4553">
        <w:rPr>
          <w:sz w:val="24"/>
        </w:rPr>
        <w:t xml:space="preserve"> Make PLA credit available to students without any requirement that the student first complete any coursework or residency requirements;</w:t>
      </w:r>
    </w:p>
    <w:p w:rsidR="00FF4553" w:rsidRPr="00FF4553" w:rsidRDefault="00FF4553" w:rsidP="00FF4553">
      <w:pPr>
        <w:jc w:val="both"/>
        <w:outlineLvl w:val="0"/>
        <w:rPr>
          <w:sz w:val="24"/>
        </w:rPr>
      </w:pPr>
    </w:p>
    <w:p w:rsidR="00FF4553" w:rsidRPr="00FF4553" w:rsidRDefault="00FF4553" w:rsidP="00FF4553">
      <w:pPr>
        <w:jc w:val="both"/>
        <w:outlineLvl w:val="0"/>
        <w:rPr>
          <w:b/>
          <w:sz w:val="24"/>
        </w:rPr>
      </w:pPr>
      <w:r w:rsidRPr="00FF4553">
        <w:rPr>
          <w:b/>
          <w:sz w:val="24"/>
        </w:rPr>
        <w:t xml:space="preserve">Phase 2: For purposes of transferability of PLA credit as it applies to the major, </w:t>
      </w:r>
      <w:r w:rsidR="00491EC8">
        <w:rPr>
          <w:b/>
          <w:sz w:val="24"/>
        </w:rPr>
        <w:t>each i</w:t>
      </w:r>
      <w:r w:rsidR="00491EC8" w:rsidRPr="00FF4553">
        <w:rPr>
          <w:b/>
          <w:sz w:val="24"/>
        </w:rPr>
        <w:t xml:space="preserve">ndividual institution will determine cut scores and course equivalencies for </w:t>
      </w:r>
      <w:r w:rsidR="00491EC8">
        <w:rPr>
          <w:b/>
          <w:sz w:val="24"/>
        </w:rPr>
        <w:t xml:space="preserve">accepting PLA as transfer credit for </w:t>
      </w:r>
      <w:r w:rsidR="00491EC8" w:rsidRPr="00FF4553">
        <w:rPr>
          <w:b/>
          <w:sz w:val="24"/>
        </w:rPr>
        <w:t>their majors</w:t>
      </w:r>
      <w:r w:rsidR="00491EC8">
        <w:rPr>
          <w:b/>
          <w:sz w:val="24"/>
        </w:rPr>
        <w:t>.</w:t>
      </w:r>
      <w:r w:rsidR="00491EC8" w:rsidRPr="00FF4553">
        <w:rPr>
          <w:b/>
          <w:sz w:val="24"/>
        </w:rPr>
        <w:t xml:space="preserve"> </w:t>
      </w:r>
      <w:r w:rsidR="00491EC8">
        <w:rPr>
          <w:b/>
          <w:sz w:val="24"/>
        </w:rPr>
        <w:t>A data gathering, analysis, and recommendation process will support these decisions</w:t>
      </w:r>
      <w:r w:rsidRPr="00FF4553">
        <w:rPr>
          <w:b/>
          <w:sz w:val="24"/>
        </w:rPr>
        <w:t xml:space="preserve">.  </w:t>
      </w:r>
    </w:p>
    <w:p w:rsidR="00FF4553" w:rsidRPr="00FF4553" w:rsidRDefault="00FF4553" w:rsidP="00FF4553">
      <w:pPr>
        <w:jc w:val="both"/>
        <w:outlineLvl w:val="0"/>
        <w:rPr>
          <w:sz w:val="24"/>
        </w:rPr>
      </w:pPr>
    </w:p>
    <w:p w:rsidR="00FF4553" w:rsidRPr="00FF4553" w:rsidRDefault="00FF4553" w:rsidP="00FF4553">
      <w:pPr>
        <w:ind w:left="360"/>
        <w:jc w:val="both"/>
        <w:outlineLvl w:val="0"/>
        <w:rPr>
          <w:sz w:val="24"/>
        </w:rPr>
      </w:pPr>
      <w:r w:rsidRPr="00FF4553">
        <w:rPr>
          <w:b/>
          <w:sz w:val="24"/>
        </w:rPr>
        <w:t xml:space="preserve">Goal 1: </w:t>
      </w:r>
      <w:r w:rsidR="00491EC8">
        <w:rPr>
          <w:sz w:val="24"/>
        </w:rPr>
        <w:t xml:space="preserve">Credits earned at state public </w:t>
      </w:r>
      <w:r w:rsidR="008F66ED">
        <w:rPr>
          <w:sz w:val="24"/>
        </w:rPr>
        <w:t xml:space="preserve">institutions </w:t>
      </w:r>
      <w:r w:rsidR="00491EC8">
        <w:rPr>
          <w:sz w:val="24"/>
        </w:rPr>
        <w:t>through PLA meeting a receiving institution’s requirements for a major shall transfer and immediately be applicable to the major</w:t>
      </w:r>
      <w:r w:rsidRPr="00FF4553">
        <w:rPr>
          <w:sz w:val="24"/>
        </w:rPr>
        <w:t>.</w:t>
      </w:r>
      <w:r w:rsidR="00491EC8">
        <w:rPr>
          <w:sz w:val="24"/>
        </w:rPr>
        <w:t xml:space="preserve"> Given the faculty and institutional responsibility for defining and awarding majors, each Baccalaureate</w:t>
      </w:r>
      <w:r w:rsidR="008F66ED">
        <w:rPr>
          <w:sz w:val="24"/>
        </w:rPr>
        <w:t xml:space="preserve"> granting institution will establish and publish conditions for applicability of credit for PLA toward meeting requirements of the major.</w:t>
      </w:r>
      <w:r w:rsidR="00491EC8">
        <w:rPr>
          <w:sz w:val="24"/>
        </w:rPr>
        <w:t xml:space="preserve"> </w:t>
      </w:r>
      <w:r w:rsidRPr="00FF4553">
        <w:rPr>
          <w:sz w:val="24"/>
        </w:rPr>
        <w:t xml:space="preserve"> </w:t>
      </w:r>
      <w:r w:rsidR="008F66ED">
        <w:rPr>
          <w:sz w:val="24"/>
        </w:rPr>
        <w:t>Institutions will r</w:t>
      </w:r>
      <w:r w:rsidRPr="00FF4553">
        <w:rPr>
          <w:sz w:val="24"/>
        </w:rPr>
        <w:t>e-examine cut-scores for AP, IB, DSST and CLEP, driven by institutional data. (Responsible</w:t>
      </w:r>
      <w:r w:rsidR="009D27FC">
        <w:rPr>
          <w:sz w:val="24"/>
        </w:rPr>
        <w:t xml:space="preserve"> </w:t>
      </w:r>
      <w:r w:rsidRPr="00FF4553">
        <w:rPr>
          <w:sz w:val="24"/>
        </w:rPr>
        <w:t>groups – Individual institutions)</w:t>
      </w:r>
    </w:p>
    <w:p w:rsidR="00FF4553" w:rsidRPr="00FF4553" w:rsidRDefault="00FF4553" w:rsidP="00FF4553">
      <w:pPr>
        <w:ind w:left="360"/>
        <w:jc w:val="both"/>
        <w:outlineLvl w:val="0"/>
        <w:rPr>
          <w:sz w:val="24"/>
        </w:rPr>
      </w:pPr>
    </w:p>
    <w:p w:rsidR="00FF4553" w:rsidRPr="00FF4553" w:rsidRDefault="00FF4553" w:rsidP="00FF4553">
      <w:pPr>
        <w:ind w:left="864"/>
        <w:jc w:val="both"/>
        <w:outlineLvl w:val="0"/>
        <w:rPr>
          <w:sz w:val="24"/>
        </w:rPr>
      </w:pPr>
      <w:r w:rsidRPr="00FF4553">
        <w:rPr>
          <w:b/>
          <w:sz w:val="24"/>
        </w:rPr>
        <w:t>Task 1:</w:t>
      </w:r>
      <w:r w:rsidRPr="00FF4553">
        <w:rPr>
          <w:sz w:val="24"/>
        </w:rPr>
        <w:t xml:space="preserve"> To support effective discussion of transfer of AP/IB credited courses as it applies to majors, all two-year and four-year public institutions will examine their own current AP and IB cut-scores and student performance data associated with those scores. Data will be analyzed by subject area, indicate student performance in the first subject area course, whether AP/IB credit was given, </w:t>
      </w:r>
      <w:proofErr w:type="gramStart"/>
      <w:r w:rsidRPr="00FF4553">
        <w:rPr>
          <w:sz w:val="24"/>
        </w:rPr>
        <w:t>student</w:t>
      </w:r>
      <w:proofErr w:type="gramEnd"/>
      <w:r w:rsidRPr="00FF4553">
        <w:rPr>
          <w:sz w:val="24"/>
        </w:rPr>
        <w:t xml:space="preserve"> performance in the following subject area course, distinguish student performance by grade category and include DFW performance.  Additionally, this data should indicate if the course was used for major, elective or general education credit. The time-to-degree and final GPA of each student who skipped a course in their major based on AP or IB, compared to time-to-degree and GPA of students who did not apply AP or IB credit to a major course(s).</w:t>
      </w:r>
    </w:p>
    <w:p w:rsidR="00FF4553" w:rsidRPr="00FF4553" w:rsidRDefault="00FF4553" w:rsidP="00FF4553">
      <w:pPr>
        <w:ind w:left="864"/>
        <w:jc w:val="both"/>
        <w:outlineLvl w:val="0"/>
        <w:rPr>
          <w:sz w:val="24"/>
        </w:rPr>
      </w:pPr>
    </w:p>
    <w:p w:rsidR="00FF4553" w:rsidRPr="00FF4553" w:rsidRDefault="00FF4553" w:rsidP="00FF4553">
      <w:pPr>
        <w:ind w:left="864"/>
        <w:jc w:val="both"/>
        <w:outlineLvl w:val="0"/>
        <w:rPr>
          <w:sz w:val="24"/>
        </w:rPr>
      </w:pPr>
      <w:r w:rsidRPr="00FF4553">
        <w:rPr>
          <w:sz w:val="24"/>
        </w:rPr>
        <w:t>Where possible for the institution, data should go back five years. (Responsible groups – Individual institutions</w:t>
      </w:r>
      <w:r w:rsidR="008F66ED">
        <w:rPr>
          <w:sz w:val="24"/>
        </w:rPr>
        <w:t xml:space="preserve"> with support from DAG</w:t>
      </w:r>
      <w:r w:rsidRPr="00FF4553">
        <w:rPr>
          <w:sz w:val="24"/>
        </w:rPr>
        <w:t>)</w:t>
      </w:r>
    </w:p>
    <w:p w:rsidR="00FF4553" w:rsidRPr="00FF4553" w:rsidRDefault="00FF4553" w:rsidP="00FF4553">
      <w:pPr>
        <w:ind w:left="864"/>
        <w:jc w:val="both"/>
        <w:outlineLvl w:val="0"/>
        <w:rPr>
          <w:sz w:val="24"/>
        </w:rPr>
      </w:pPr>
    </w:p>
    <w:p w:rsidR="00FF4553" w:rsidRPr="00FF4553" w:rsidRDefault="00FF4553" w:rsidP="00FF4553">
      <w:pPr>
        <w:ind w:left="864"/>
        <w:jc w:val="both"/>
        <w:outlineLvl w:val="0"/>
        <w:rPr>
          <w:sz w:val="24"/>
        </w:rPr>
      </w:pPr>
      <w:r w:rsidRPr="00FF4553">
        <w:rPr>
          <w:b/>
          <w:sz w:val="24"/>
        </w:rPr>
        <w:t xml:space="preserve">Task 2: </w:t>
      </w:r>
      <w:r w:rsidRPr="00FF4553">
        <w:rPr>
          <w:sz w:val="24"/>
        </w:rPr>
        <w:t>Gather data on use of CLEP scores along with student performance data – See Task 1. (Responsible groups – Individual institutions)</w:t>
      </w:r>
    </w:p>
    <w:p w:rsidR="00FF4553" w:rsidRPr="00FF4553" w:rsidRDefault="00FF4553" w:rsidP="00FF4553">
      <w:pPr>
        <w:ind w:left="864"/>
        <w:jc w:val="both"/>
        <w:outlineLvl w:val="0"/>
        <w:rPr>
          <w:sz w:val="24"/>
        </w:rPr>
      </w:pPr>
    </w:p>
    <w:p w:rsidR="00FF4553" w:rsidRPr="00FF4553" w:rsidRDefault="00FF4553" w:rsidP="00FF4553">
      <w:pPr>
        <w:ind w:left="864"/>
        <w:jc w:val="both"/>
        <w:outlineLvl w:val="0"/>
        <w:rPr>
          <w:sz w:val="24"/>
        </w:rPr>
      </w:pPr>
      <w:r w:rsidRPr="00FF4553">
        <w:rPr>
          <w:b/>
          <w:sz w:val="24"/>
        </w:rPr>
        <w:t xml:space="preserve">Task 3: </w:t>
      </w:r>
      <w:r w:rsidRPr="00FF4553">
        <w:rPr>
          <w:sz w:val="24"/>
        </w:rPr>
        <w:t xml:space="preserve">Based on the results of Tasks 1 and 2, analyze the effect of various AP, IB and CLEP cut scores on student success across different student demographics, institutional selectivity and role and mission, and specific use of PLA (major, elective, gen </w:t>
      </w:r>
      <w:proofErr w:type="spellStart"/>
      <w:r w:rsidRPr="00FF4553">
        <w:rPr>
          <w:sz w:val="24"/>
        </w:rPr>
        <w:t>ed</w:t>
      </w:r>
      <w:proofErr w:type="spellEnd"/>
      <w:r w:rsidRPr="00FF4553">
        <w:rPr>
          <w:sz w:val="24"/>
        </w:rPr>
        <w:t xml:space="preserve"> credit). Compare results to national data and note any important differences. (Responsible groups – Individual institutions</w:t>
      </w:r>
      <w:r w:rsidR="000A53E2">
        <w:rPr>
          <w:sz w:val="24"/>
        </w:rPr>
        <w:t xml:space="preserve"> with support from DAG</w:t>
      </w:r>
      <w:r w:rsidRPr="00FF4553">
        <w:rPr>
          <w:sz w:val="24"/>
        </w:rPr>
        <w:t>)</w:t>
      </w:r>
    </w:p>
    <w:p w:rsidR="00FF4553" w:rsidRPr="00FF4553" w:rsidRDefault="00FF4553" w:rsidP="00FF4553">
      <w:pPr>
        <w:ind w:left="864"/>
        <w:jc w:val="both"/>
        <w:outlineLvl w:val="0"/>
        <w:rPr>
          <w:sz w:val="24"/>
        </w:rPr>
      </w:pPr>
    </w:p>
    <w:p w:rsidR="00FF4553" w:rsidRPr="00FF4553" w:rsidRDefault="00FF4553" w:rsidP="00FF4553">
      <w:pPr>
        <w:ind w:left="864"/>
        <w:jc w:val="both"/>
        <w:outlineLvl w:val="0"/>
        <w:rPr>
          <w:sz w:val="24"/>
        </w:rPr>
      </w:pPr>
      <w:r w:rsidRPr="00FF4553">
        <w:rPr>
          <w:b/>
          <w:sz w:val="24"/>
        </w:rPr>
        <w:t xml:space="preserve">Task 4: </w:t>
      </w:r>
      <w:r w:rsidRPr="00FF4553">
        <w:rPr>
          <w:sz w:val="24"/>
        </w:rPr>
        <w:t xml:space="preserve">Based on the analysis in Task 3, bring faculty subject experts together to discuss transferability of AP, IB and CLEP for major credit and generate recommended practices. (Responsible groups – Individual institutions report scores to CDHE for recording on the common template, such as that in Appendix </w:t>
      </w:r>
      <w:r w:rsidR="00977151">
        <w:rPr>
          <w:sz w:val="24"/>
        </w:rPr>
        <w:t>E</w:t>
      </w:r>
      <w:r w:rsidRPr="00FF4553">
        <w:rPr>
          <w:sz w:val="24"/>
        </w:rPr>
        <w:t xml:space="preserve">). </w:t>
      </w:r>
    </w:p>
    <w:p w:rsidR="00FF4553" w:rsidRPr="00FF4553" w:rsidRDefault="00FF4553" w:rsidP="00FF4553">
      <w:pPr>
        <w:ind w:left="720"/>
        <w:jc w:val="both"/>
        <w:outlineLvl w:val="0"/>
        <w:rPr>
          <w:sz w:val="24"/>
        </w:rPr>
      </w:pPr>
    </w:p>
    <w:p w:rsidR="00FF4553" w:rsidRPr="00FF4553" w:rsidRDefault="00FF4553" w:rsidP="00FF4553">
      <w:pPr>
        <w:spacing w:after="120"/>
        <w:jc w:val="both"/>
        <w:rPr>
          <w:b/>
          <w:bCs/>
          <w:sz w:val="24"/>
        </w:rPr>
      </w:pPr>
      <w:r w:rsidRPr="00FF4553">
        <w:rPr>
          <w:b/>
          <w:bCs/>
          <w:sz w:val="24"/>
        </w:rPr>
        <w:t xml:space="preserve">Phase 3: Reporting, </w:t>
      </w:r>
      <w:proofErr w:type="spellStart"/>
      <w:r w:rsidRPr="00FF4553">
        <w:rPr>
          <w:b/>
          <w:bCs/>
          <w:sz w:val="24"/>
        </w:rPr>
        <w:t>Transcripting</w:t>
      </w:r>
      <w:proofErr w:type="spellEnd"/>
      <w:r w:rsidRPr="00FF4553">
        <w:rPr>
          <w:b/>
          <w:bCs/>
          <w:sz w:val="24"/>
        </w:rPr>
        <w:t>, Communication and Periodic Review Goals</w:t>
      </w:r>
    </w:p>
    <w:p w:rsidR="00FF4553" w:rsidRPr="00FF4553" w:rsidRDefault="00FF4553" w:rsidP="00FF4553">
      <w:pPr>
        <w:spacing w:after="120"/>
        <w:ind w:left="360"/>
        <w:jc w:val="both"/>
        <w:rPr>
          <w:bCs/>
          <w:sz w:val="24"/>
        </w:rPr>
      </w:pPr>
      <w:r w:rsidRPr="00FF4553">
        <w:rPr>
          <w:b/>
          <w:bCs/>
          <w:sz w:val="24"/>
        </w:rPr>
        <w:t xml:space="preserve">Goal </w:t>
      </w:r>
      <w:r w:rsidR="008F66ED">
        <w:rPr>
          <w:b/>
          <w:bCs/>
          <w:sz w:val="24"/>
        </w:rPr>
        <w:t>1</w:t>
      </w:r>
      <w:r w:rsidRPr="00FF4553">
        <w:rPr>
          <w:b/>
          <w:bCs/>
          <w:sz w:val="24"/>
        </w:rPr>
        <w:t>:</w:t>
      </w:r>
      <w:r w:rsidRPr="00FF4553">
        <w:rPr>
          <w:bCs/>
          <w:sz w:val="24"/>
        </w:rPr>
        <w:t xml:space="preserve"> Develop mechanisms to consistently transcript PLA credit (Responsible groups – registrars and advisors</w:t>
      </w:r>
      <w:r w:rsidR="008F66ED">
        <w:rPr>
          <w:bCs/>
          <w:sz w:val="24"/>
        </w:rPr>
        <w:t xml:space="preserve"> with input and oversight from AC</w:t>
      </w:r>
      <w:r w:rsidRPr="00FF4553">
        <w:rPr>
          <w:bCs/>
          <w:sz w:val="24"/>
        </w:rPr>
        <w:t xml:space="preserve">). </w:t>
      </w:r>
    </w:p>
    <w:p w:rsidR="00FF4553" w:rsidRPr="00FF4553" w:rsidRDefault="00FF4553" w:rsidP="00FF4553">
      <w:pPr>
        <w:spacing w:after="120"/>
        <w:ind w:left="360"/>
        <w:jc w:val="both"/>
        <w:rPr>
          <w:sz w:val="24"/>
        </w:rPr>
      </w:pPr>
      <w:r w:rsidRPr="00FF4553">
        <w:rPr>
          <w:b/>
          <w:bCs/>
          <w:sz w:val="24"/>
        </w:rPr>
        <w:t xml:space="preserve">Goal </w:t>
      </w:r>
      <w:r w:rsidR="008F66ED">
        <w:rPr>
          <w:b/>
          <w:bCs/>
          <w:sz w:val="24"/>
        </w:rPr>
        <w:t>2</w:t>
      </w:r>
      <w:r w:rsidRPr="00FF4553">
        <w:rPr>
          <w:bCs/>
          <w:sz w:val="24"/>
        </w:rPr>
        <w:t>: D</w:t>
      </w:r>
      <w:r w:rsidRPr="00FF4553">
        <w:rPr>
          <w:sz w:val="24"/>
        </w:rPr>
        <w:t>evelop an effective, common reporting model for PLA containing all policies from all public institutions. This reporting will be done online at the CDHE and each institution will link to this common form from their websites.  The key outcome of this goal will be significantly improved communication to all interested parties. (Responsible groups - AC and CDHE with input from DAG)</w:t>
      </w:r>
    </w:p>
    <w:p w:rsidR="00FF4553" w:rsidRPr="00FF4553" w:rsidRDefault="00FF4553" w:rsidP="00FF4553">
      <w:pPr>
        <w:ind w:left="360"/>
        <w:jc w:val="both"/>
        <w:outlineLvl w:val="0"/>
        <w:rPr>
          <w:sz w:val="24"/>
        </w:rPr>
      </w:pPr>
      <w:r w:rsidRPr="00FF4553">
        <w:rPr>
          <w:b/>
          <w:sz w:val="24"/>
        </w:rPr>
        <w:t xml:space="preserve">Goal </w:t>
      </w:r>
      <w:r w:rsidR="008F66ED">
        <w:rPr>
          <w:b/>
          <w:sz w:val="24"/>
        </w:rPr>
        <w:t>3</w:t>
      </w:r>
      <w:r w:rsidRPr="00FF4553">
        <w:rPr>
          <w:b/>
          <w:sz w:val="24"/>
        </w:rPr>
        <w:t xml:space="preserve">: </w:t>
      </w:r>
      <w:r w:rsidRPr="00FF4553">
        <w:rPr>
          <w:sz w:val="24"/>
        </w:rPr>
        <w:t>Develop focused communication mechanisms, perhaps by notations in web-based course catalogs that highlight for students where, because of PLA policies, there may be differentiated transfer of PLA credit between institutions. (Responsible groups - AC and CDHE)</w:t>
      </w:r>
    </w:p>
    <w:p w:rsidR="00FF4553" w:rsidRPr="00FF4553" w:rsidRDefault="00FF4553" w:rsidP="00FF4553">
      <w:pPr>
        <w:ind w:left="360"/>
        <w:jc w:val="both"/>
        <w:outlineLvl w:val="0"/>
        <w:rPr>
          <w:sz w:val="24"/>
        </w:rPr>
      </w:pPr>
    </w:p>
    <w:p w:rsidR="00FF4553" w:rsidRPr="00FF4553" w:rsidRDefault="00FF4553" w:rsidP="00FF4553">
      <w:pPr>
        <w:spacing w:after="120"/>
        <w:ind w:left="360"/>
        <w:jc w:val="both"/>
        <w:outlineLvl w:val="0"/>
        <w:rPr>
          <w:color w:val="1A1A1A"/>
          <w:sz w:val="24"/>
        </w:rPr>
      </w:pPr>
      <w:r w:rsidRPr="00FF4553">
        <w:rPr>
          <w:b/>
          <w:color w:val="1A1A1A"/>
          <w:sz w:val="24"/>
        </w:rPr>
        <w:t xml:space="preserve">Goal </w:t>
      </w:r>
      <w:r w:rsidR="008F66ED">
        <w:rPr>
          <w:b/>
          <w:color w:val="1A1A1A"/>
          <w:sz w:val="24"/>
        </w:rPr>
        <w:t>4</w:t>
      </w:r>
      <w:r w:rsidRPr="00FF4553">
        <w:rPr>
          <w:color w:val="1A1A1A"/>
          <w:sz w:val="24"/>
        </w:rPr>
        <w:t>: Ensure that fees for PLA are transparent and reflect actual costs, including faculty and staff time, and any appropriately amortized infrastructure cost. (Responsible group – AC, with input from institutions)</w:t>
      </w:r>
    </w:p>
    <w:p w:rsidR="00FF4553" w:rsidRPr="00FF4553" w:rsidRDefault="00FF4553" w:rsidP="00FF4553">
      <w:pPr>
        <w:ind w:left="360"/>
        <w:jc w:val="both"/>
        <w:outlineLvl w:val="0"/>
        <w:rPr>
          <w:sz w:val="24"/>
        </w:rPr>
      </w:pPr>
      <w:r w:rsidRPr="00FF4553">
        <w:rPr>
          <w:b/>
          <w:sz w:val="24"/>
        </w:rPr>
        <w:t xml:space="preserve">Goal </w:t>
      </w:r>
      <w:r w:rsidR="008F66ED">
        <w:rPr>
          <w:b/>
          <w:sz w:val="24"/>
        </w:rPr>
        <w:t>5</w:t>
      </w:r>
      <w:r w:rsidRPr="00FF4553">
        <w:rPr>
          <w:sz w:val="24"/>
        </w:rPr>
        <w:t>: Once a student has matriculated at an institution, apply the eligible PLA credit to the students’ record in a timely manner, in order to support degree completion. (Responsible group – AC)</w:t>
      </w:r>
    </w:p>
    <w:p w:rsidR="00FF4553" w:rsidRPr="00FF4553" w:rsidRDefault="00FF4553" w:rsidP="00FF4553">
      <w:pPr>
        <w:ind w:left="360"/>
        <w:jc w:val="both"/>
        <w:outlineLvl w:val="0"/>
        <w:rPr>
          <w:sz w:val="24"/>
        </w:rPr>
      </w:pPr>
    </w:p>
    <w:p w:rsidR="00FF4553" w:rsidRPr="00FF4553" w:rsidRDefault="00FF4553" w:rsidP="00FF4553">
      <w:pPr>
        <w:spacing w:after="120"/>
        <w:ind w:left="360"/>
        <w:jc w:val="both"/>
        <w:outlineLvl w:val="0"/>
        <w:rPr>
          <w:sz w:val="24"/>
        </w:rPr>
      </w:pPr>
      <w:r w:rsidRPr="00FF4553">
        <w:rPr>
          <w:b/>
          <w:sz w:val="24"/>
        </w:rPr>
        <w:t xml:space="preserve">Goal </w:t>
      </w:r>
      <w:r w:rsidR="008F66ED">
        <w:rPr>
          <w:b/>
          <w:sz w:val="24"/>
        </w:rPr>
        <w:t>6</w:t>
      </w:r>
      <w:r w:rsidRPr="00FF4553">
        <w:rPr>
          <w:sz w:val="24"/>
        </w:rPr>
        <w:t>: Form an advisory group for each IHE to: track progress in meeting student success goals and the effect of PLA on student success; to develop tools and faculty/staff knowledge in awarding PLA; consider how to use PLA as a workforce development strategy; track number and type of PLA credits awarded, types of assessment and associated costs to students (Klein-Collins, 2014). (Responsible groups - AC, DAG and CDHE)</w:t>
      </w:r>
    </w:p>
    <w:p w:rsidR="00FF4553" w:rsidRPr="00FF4553" w:rsidRDefault="00FF4553" w:rsidP="00FF4553">
      <w:pPr>
        <w:spacing w:after="120"/>
        <w:ind w:left="360"/>
        <w:jc w:val="both"/>
        <w:outlineLvl w:val="0"/>
        <w:rPr>
          <w:sz w:val="24"/>
        </w:rPr>
      </w:pPr>
      <w:r w:rsidRPr="00FF4553">
        <w:rPr>
          <w:b/>
          <w:sz w:val="24"/>
        </w:rPr>
        <w:t xml:space="preserve">Goal </w:t>
      </w:r>
      <w:r w:rsidR="008F66ED">
        <w:rPr>
          <w:b/>
          <w:sz w:val="24"/>
        </w:rPr>
        <w:t>7</w:t>
      </w:r>
      <w:r w:rsidRPr="00FF4553">
        <w:rPr>
          <w:b/>
          <w:sz w:val="24"/>
        </w:rPr>
        <w:t>:</w:t>
      </w:r>
      <w:r w:rsidRPr="00FF4553">
        <w:rPr>
          <w:sz w:val="24"/>
        </w:rPr>
        <w:t xml:space="preserve"> Periodically revisit PLA policies as they evolve in Colorado and in national practice, including changes in AP courses and exams, experience with PLA, and changing student demographics. We suggest an eight-year review cycle following changes made through the outlined process.  (Responsible groups – AC)</w:t>
      </w:r>
    </w:p>
    <w:p w:rsidR="00FF4553" w:rsidRPr="00FF4553" w:rsidRDefault="00FF4553" w:rsidP="00FF4553">
      <w:pPr>
        <w:jc w:val="both"/>
        <w:outlineLvl w:val="0"/>
        <w:rPr>
          <w:sz w:val="24"/>
        </w:rPr>
      </w:pPr>
    </w:p>
    <w:p w:rsidR="00FF4553" w:rsidRPr="00FF4553" w:rsidRDefault="00FF4553" w:rsidP="00FF4553">
      <w:pPr>
        <w:jc w:val="both"/>
        <w:outlineLvl w:val="0"/>
        <w:rPr>
          <w:sz w:val="24"/>
        </w:rPr>
      </w:pPr>
    </w:p>
    <w:p w:rsidR="00FF4553" w:rsidRPr="00FF4553" w:rsidRDefault="00FF4553" w:rsidP="00FF4553">
      <w:pPr>
        <w:jc w:val="both"/>
        <w:outlineLvl w:val="0"/>
        <w:rPr>
          <w:sz w:val="24"/>
        </w:rPr>
      </w:pPr>
      <w:r w:rsidRPr="00FF4553">
        <w:rPr>
          <w:b/>
          <w:sz w:val="24"/>
        </w:rPr>
        <w:t>Constituent Review Team</w:t>
      </w:r>
    </w:p>
    <w:p w:rsidR="00FF4553" w:rsidRPr="00FF4553" w:rsidRDefault="00FF4553" w:rsidP="00FF4553">
      <w:pPr>
        <w:jc w:val="both"/>
        <w:outlineLvl w:val="0"/>
        <w:rPr>
          <w:sz w:val="24"/>
        </w:rPr>
      </w:pPr>
    </w:p>
    <w:p w:rsidR="00FF4553" w:rsidRPr="00FF4553" w:rsidRDefault="00FF4553" w:rsidP="00FF4553">
      <w:pPr>
        <w:jc w:val="both"/>
        <w:outlineLvl w:val="0"/>
        <w:rPr>
          <w:sz w:val="24"/>
        </w:rPr>
      </w:pPr>
      <w:r w:rsidRPr="00FF4553">
        <w:rPr>
          <w:sz w:val="24"/>
        </w:rPr>
        <w:t>While Academic Council, General Education Council, the state public institutions and their faculty, and the CDHE will accomplish the major work in the Goals, we recommend a Constituent Review Team</w:t>
      </w:r>
      <w:r w:rsidR="008F66ED">
        <w:rPr>
          <w:sz w:val="24"/>
        </w:rPr>
        <w:t xml:space="preserve"> </w:t>
      </w:r>
      <w:r w:rsidRPr="00FF4553">
        <w:rPr>
          <w:sz w:val="24"/>
        </w:rPr>
        <w:t xml:space="preserve">(CRT) to provide periodic review of the process and recommendations.  We suggest that the CRT be composed of two members of Academic Council, two members of the General Education Council, two representatives from the Data Advisory Group [for each of the preceding groups there will one representative of a 2-yr institution and one representative of a 4-yr institution], one member of the CCHE, one workforce/veteran representative and one representative of parents. </w:t>
      </w:r>
    </w:p>
    <w:p w:rsidR="00FF4553" w:rsidRDefault="00FF4553" w:rsidP="00FF4553">
      <w:pPr>
        <w:jc w:val="both"/>
        <w:outlineLvl w:val="0"/>
        <w:rPr>
          <w:sz w:val="24"/>
        </w:rPr>
      </w:pPr>
    </w:p>
    <w:p w:rsidR="00FF4553" w:rsidRPr="00FF4553" w:rsidRDefault="00FF4553" w:rsidP="00FF4553">
      <w:pPr>
        <w:jc w:val="both"/>
        <w:outlineLvl w:val="0"/>
        <w:rPr>
          <w:sz w:val="24"/>
        </w:rPr>
      </w:pPr>
    </w:p>
    <w:p w:rsidR="00055373" w:rsidRDefault="00055373" w:rsidP="00FF4553">
      <w:pPr>
        <w:jc w:val="both"/>
        <w:outlineLvl w:val="0"/>
        <w:rPr>
          <w:b/>
          <w:sz w:val="24"/>
        </w:rPr>
      </w:pPr>
    </w:p>
    <w:p w:rsidR="00055373" w:rsidRDefault="00055373" w:rsidP="00FF4553">
      <w:pPr>
        <w:jc w:val="both"/>
        <w:outlineLvl w:val="0"/>
        <w:rPr>
          <w:b/>
          <w:sz w:val="24"/>
        </w:rPr>
      </w:pPr>
    </w:p>
    <w:p w:rsidR="00FF4553" w:rsidRPr="00FF4553" w:rsidRDefault="00FF4553" w:rsidP="00FF4553">
      <w:pPr>
        <w:jc w:val="both"/>
        <w:outlineLvl w:val="0"/>
        <w:rPr>
          <w:b/>
          <w:sz w:val="24"/>
        </w:rPr>
      </w:pPr>
      <w:r w:rsidRPr="00FF4553">
        <w:rPr>
          <w:b/>
          <w:sz w:val="24"/>
        </w:rPr>
        <w:t>Suggested Timeline:</w:t>
      </w:r>
    </w:p>
    <w:p w:rsidR="00FF4553" w:rsidRPr="00FF4553" w:rsidRDefault="00FF4553" w:rsidP="00FF4553">
      <w:pPr>
        <w:jc w:val="both"/>
        <w:outlineLvl w:val="0"/>
        <w:rPr>
          <w:b/>
          <w:sz w:val="24"/>
        </w:rPr>
      </w:pPr>
    </w:p>
    <w:p w:rsidR="00FF4553" w:rsidRPr="00FF4553" w:rsidRDefault="00FF4553" w:rsidP="00FF4553">
      <w:pPr>
        <w:jc w:val="both"/>
        <w:outlineLvl w:val="0"/>
        <w:rPr>
          <w:sz w:val="24"/>
        </w:rPr>
      </w:pPr>
      <w:r w:rsidRPr="00FF4553">
        <w:rPr>
          <w:sz w:val="24"/>
        </w:rPr>
        <w:t>The overall flow of the process has three major steps, aligned to the phases of work.</w:t>
      </w:r>
    </w:p>
    <w:p w:rsidR="00FF4553" w:rsidRPr="00FF4553" w:rsidRDefault="00FF4553" w:rsidP="00FF4553">
      <w:pPr>
        <w:jc w:val="both"/>
        <w:outlineLvl w:val="0"/>
        <w:rPr>
          <w:sz w:val="24"/>
        </w:rPr>
      </w:pPr>
    </w:p>
    <w:p w:rsidR="00FF4553" w:rsidRPr="00FF4553" w:rsidRDefault="00FF4553" w:rsidP="00FF4553">
      <w:pPr>
        <w:jc w:val="both"/>
        <w:outlineLvl w:val="0"/>
        <w:rPr>
          <w:b/>
          <w:sz w:val="24"/>
        </w:rPr>
      </w:pPr>
      <w:r w:rsidRPr="00FF4553">
        <w:rPr>
          <w:b/>
          <w:sz w:val="24"/>
        </w:rPr>
        <w:t>Phase 1:</w:t>
      </w:r>
      <w:r w:rsidRPr="00FF4553">
        <w:rPr>
          <w:b/>
          <w:i/>
          <w:sz w:val="24"/>
        </w:rPr>
        <w:t xml:space="preserve"> </w:t>
      </w:r>
      <w:r w:rsidRPr="00FF4553">
        <w:rPr>
          <w:b/>
          <w:sz w:val="24"/>
        </w:rPr>
        <w:t xml:space="preserve">Target Date – </w:t>
      </w:r>
      <w:r w:rsidR="008F66ED">
        <w:rPr>
          <w:b/>
          <w:sz w:val="24"/>
        </w:rPr>
        <w:t xml:space="preserve">Goal 1, </w:t>
      </w:r>
      <w:r w:rsidRPr="00FF4553">
        <w:rPr>
          <w:b/>
          <w:sz w:val="24"/>
        </w:rPr>
        <w:t>December 2015</w:t>
      </w:r>
      <w:r w:rsidR="008F66ED">
        <w:rPr>
          <w:b/>
          <w:sz w:val="24"/>
        </w:rPr>
        <w:t xml:space="preserve">; Goal 2, </w:t>
      </w:r>
      <w:r w:rsidR="00D317D0">
        <w:rPr>
          <w:b/>
          <w:sz w:val="24"/>
        </w:rPr>
        <w:t xml:space="preserve">3, and 4, </w:t>
      </w:r>
      <w:r w:rsidR="008F66ED">
        <w:rPr>
          <w:b/>
          <w:sz w:val="24"/>
        </w:rPr>
        <w:t>March 2016</w:t>
      </w:r>
    </w:p>
    <w:p w:rsidR="00FF4553" w:rsidRPr="00FF4553" w:rsidRDefault="00FF4553" w:rsidP="00FF4553">
      <w:pPr>
        <w:jc w:val="both"/>
        <w:outlineLvl w:val="0"/>
        <w:rPr>
          <w:sz w:val="24"/>
        </w:rPr>
      </w:pPr>
    </w:p>
    <w:p w:rsidR="00FF4553" w:rsidRPr="00FF4553" w:rsidRDefault="00FF4553" w:rsidP="00FF4553">
      <w:pPr>
        <w:jc w:val="both"/>
        <w:outlineLvl w:val="0"/>
        <w:rPr>
          <w:sz w:val="24"/>
        </w:rPr>
      </w:pPr>
      <w:r w:rsidRPr="00FF4553">
        <w:rPr>
          <w:sz w:val="24"/>
        </w:rPr>
        <w:t>Goal 1 - Establish common cut scores for standardized assessments, such as AP, CLEP, and IB for purposes of creating transferability among public institutions for credits to be applied toward fulfillment of gtPathways curricu</w:t>
      </w:r>
      <w:r w:rsidR="00633FC2">
        <w:rPr>
          <w:sz w:val="24"/>
        </w:rPr>
        <w:t xml:space="preserve">lum categories.  (See Appendix </w:t>
      </w:r>
      <w:r w:rsidR="00977151">
        <w:rPr>
          <w:sz w:val="24"/>
        </w:rPr>
        <w:t>E</w:t>
      </w:r>
      <w:r w:rsidRPr="00FF4553">
        <w:rPr>
          <w:sz w:val="24"/>
        </w:rPr>
        <w:t>: Sample Format for Standardized Exam Cut Scores).</w:t>
      </w:r>
    </w:p>
    <w:p w:rsidR="00FF4553" w:rsidRPr="00FF4553" w:rsidRDefault="00FF4553" w:rsidP="00FF4553">
      <w:pPr>
        <w:pStyle w:val="ListParagraph"/>
        <w:numPr>
          <w:ilvl w:val="0"/>
          <w:numId w:val="46"/>
        </w:numPr>
        <w:jc w:val="both"/>
        <w:outlineLvl w:val="0"/>
        <w:rPr>
          <w:rFonts w:ascii="Times New Roman" w:hAnsi="Times New Roman"/>
          <w:sz w:val="24"/>
          <w:szCs w:val="24"/>
        </w:rPr>
      </w:pPr>
      <w:r w:rsidRPr="00FF4553">
        <w:rPr>
          <w:rFonts w:ascii="Times New Roman" w:hAnsi="Times New Roman"/>
          <w:sz w:val="24"/>
          <w:szCs w:val="24"/>
        </w:rPr>
        <w:t>Most institutions have already agreed to present faculty with and work toward acceptance of the cut scores and credit recommendations in Phase 1, Goal 1 above. Institutions that have not yet completed this will define a work plan for accomplishing this task.</w:t>
      </w:r>
    </w:p>
    <w:p w:rsidR="00FF4553" w:rsidRDefault="00FF4553" w:rsidP="00FF4553">
      <w:pPr>
        <w:jc w:val="both"/>
        <w:outlineLvl w:val="0"/>
        <w:rPr>
          <w:sz w:val="24"/>
        </w:rPr>
      </w:pPr>
      <w:r w:rsidRPr="00FF4553">
        <w:rPr>
          <w:sz w:val="24"/>
        </w:rPr>
        <w:t xml:space="preserve">Goal 2 - </w:t>
      </w:r>
      <w:r w:rsidR="00D317D0">
        <w:rPr>
          <w:sz w:val="24"/>
        </w:rPr>
        <w:t>Integrate into the transfer equivalency process institutional mechanisms</w:t>
      </w:r>
      <w:r w:rsidR="00D317D0" w:rsidRPr="00FF4553">
        <w:rPr>
          <w:sz w:val="24"/>
        </w:rPr>
        <w:t xml:space="preserve"> </w:t>
      </w:r>
      <w:r w:rsidR="00D317D0">
        <w:rPr>
          <w:sz w:val="24"/>
        </w:rPr>
        <w:t xml:space="preserve">that allow </w:t>
      </w:r>
      <w:r w:rsidR="00D317D0" w:rsidRPr="00FF4553">
        <w:rPr>
          <w:sz w:val="24"/>
        </w:rPr>
        <w:t xml:space="preserve">transfer </w:t>
      </w:r>
      <w:r w:rsidR="00D317D0">
        <w:rPr>
          <w:sz w:val="24"/>
        </w:rPr>
        <w:t xml:space="preserve">of </w:t>
      </w:r>
      <w:r w:rsidR="00D317D0" w:rsidRPr="00FF4553">
        <w:rPr>
          <w:sz w:val="24"/>
        </w:rPr>
        <w:t>credit that has been awarded by another institution based on Portfolio Assessment and apply that credit to appropriate general education degree requirements.</w:t>
      </w:r>
    </w:p>
    <w:p w:rsidR="00305543" w:rsidRPr="00305543" w:rsidRDefault="00305543" w:rsidP="00FF4553">
      <w:pPr>
        <w:jc w:val="both"/>
        <w:outlineLvl w:val="0"/>
        <w:rPr>
          <w:sz w:val="24"/>
        </w:rPr>
      </w:pPr>
    </w:p>
    <w:p w:rsidR="00305543" w:rsidRDefault="00305543" w:rsidP="00FF4553">
      <w:pPr>
        <w:jc w:val="both"/>
        <w:outlineLvl w:val="0"/>
        <w:rPr>
          <w:sz w:val="24"/>
        </w:rPr>
      </w:pPr>
      <w:r w:rsidRPr="00305543">
        <w:rPr>
          <w:sz w:val="24"/>
        </w:rPr>
        <w:t>Goal 3</w:t>
      </w:r>
      <w:r>
        <w:rPr>
          <w:sz w:val="24"/>
        </w:rPr>
        <w:t xml:space="preserve"> -</w:t>
      </w:r>
      <w:r w:rsidRPr="00FF4553">
        <w:rPr>
          <w:b/>
          <w:sz w:val="24"/>
        </w:rPr>
        <w:t xml:space="preserve"> C</w:t>
      </w:r>
      <w:r w:rsidRPr="00FF4553">
        <w:rPr>
          <w:sz w:val="24"/>
        </w:rPr>
        <w:t xml:space="preserve">onsistent with §23-1-125(4), C.R.S., each public institution defines a process to test out of a course “including specifying use of a national test or the criteria for approving institutionally devised tests.”  </w:t>
      </w:r>
    </w:p>
    <w:p w:rsidR="008F66ED" w:rsidRDefault="008F66ED" w:rsidP="00FF4553">
      <w:pPr>
        <w:jc w:val="both"/>
        <w:outlineLvl w:val="0"/>
        <w:rPr>
          <w:sz w:val="24"/>
        </w:rPr>
      </w:pPr>
    </w:p>
    <w:p w:rsidR="008F66ED" w:rsidRPr="00FF4553" w:rsidRDefault="008F66ED" w:rsidP="00FF4553">
      <w:pPr>
        <w:jc w:val="both"/>
        <w:outlineLvl w:val="0"/>
        <w:rPr>
          <w:sz w:val="24"/>
        </w:rPr>
      </w:pPr>
      <w:r>
        <w:rPr>
          <w:sz w:val="24"/>
        </w:rPr>
        <w:t xml:space="preserve">Goal 4 - </w:t>
      </w:r>
      <w:r w:rsidRPr="00FF4553">
        <w:rPr>
          <w:sz w:val="24"/>
        </w:rPr>
        <w:t>Examine the PLA offerings for active military and veterans across Colorado public institutions. Understand on an institutional basis what has supported student military/veteran success. Where appropriate expand/enrich the PLA offerings for military and returning veterans</w:t>
      </w:r>
      <w:r>
        <w:rPr>
          <w:sz w:val="24"/>
        </w:rPr>
        <w:t>.</w:t>
      </w:r>
    </w:p>
    <w:p w:rsidR="00FF4553" w:rsidRPr="00FF4553" w:rsidRDefault="00FF4553" w:rsidP="00FF4553">
      <w:pPr>
        <w:jc w:val="both"/>
        <w:outlineLvl w:val="0"/>
        <w:rPr>
          <w:sz w:val="24"/>
        </w:rPr>
      </w:pPr>
    </w:p>
    <w:p w:rsidR="00FF4553" w:rsidRPr="00FF4553" w:rsidRDefault="00FF4553" w:rsidP="00FF4553">
      <w:pPr>
        <w:jc w:val="both"/>
        <w:outlineLvl w:val="0"/>
        <w:rPr>
          <w:b/>
          <w:sz w:val="24"/>
        </w:rPr>
      </w:pPr>
      <w:r w:rsidRPr="00FF4553">
        <w:rPr>
          <w:b/>
          <w:sz w:val="24"/>
        </w:rPr>
        <w:t xml:space="preserve">Phase 2: Target Date – </w:t>
      </w:r>
      <w:r w:rsidR="00D317D0">
        <w:rPr>
          <w:b/>
          <w:sz w:val="24"/>
        </w:rPr>
        <w:t>March</w:t>
      </w:r>
      <w:r w:rsidRPr="00FF4553">
        <w:rPr>
          <w:b/>
          <w:sz w:val="24"/>
        </w:rPr>
        <w:t xml:space="preserve"> 2016</w:t>
      </w:r>
    </w:p>
    <w:p w:rsidR="00FF4553" w:rsidRPr="00FF4553" w:rsidRDefault="00FF4553" w:rsidP="00FF4553">
      <w:pPr>
        <w:jc w:val="both"/>
        <w:outlineLvl w:val="0"/>
        <w:rPr>
          <w:sz w:val="24"/>
        </w:rPr>
      </w:pPr>
    </w:p>
    <w:p w:rsidR="000A53E2" w:rsidRDefault="000A53E2" w:rsidP="00305543">
      <w:pPr>
        <w:jc w:val="both"/>
        <w:outlineLvl w:val="0"/>
        <w:rPr>
          <w:sz w:val="24"/>
        </w:rPr>
      </w:pPr>
      <w:r w:rsidRPr="00305543">
        <w:rPr>
          <w:sz w:val="24"/>
        </w:rPr>
        <w:t>Goal 1:</w:t>
      </w:r>
      <w:r w:rsidRPr="00FF4553">
        <w:rPr>
          <w:b/>
          <w:sz w:val="24"/>
        </w:rPr>
        <w:t xml:space="preserve"> </w:t>
      </w:r>
      <w:r w:rsidR="00D317D0">
        <w:rPr>
          <w:sz w:val="24"/>
        </w:rPr>
        <w:t>Credits earned at state public institutions through PLA meeting a receiving institution’s requirements for a major shall transfer and immediately be applicable to the major</w:t>
      </w:r>
      <w:r w:rsidR="00D317D0" w:rsidRPr="00FF4553">
        <w:rPr>
          <w:sz w:val="24"/>
        </w:rPr>
        <w:t>.</w:t>
      </w:r>
      <w:r w:rsidR="00D317D0">
        <w:rPr>
          <w:sz w:val="24"/>
        </w:rPr>
        <w:t xml:space="preserve"> Given the faculty and institutional responsibility for defining and awarding majors, each Baccalaureate granting institution will establish and publish conditions for applicability of credit for PLA toward meeting requirements of the major. </w:t>
      </w:r>
      <w:r w:rsidR="00D317D0" w:rsidRPr="00FF4553">
        <w:rPr>
          <w:sz w:val="24"/>
        </w:rPr>
        <w:t xml:space="preserve"> </w:t>
      </w:r>
      <w:r w:rsidR="00D317D0">
        <w:rPr>
          <w:sz w:val="24"/>
        </w:rPr>
        <w:t>Institutions will r</w:t>
      </w:r>
      <w:r w:rsidR="00D317D0" w:rsidRPr="00FF4553">
        <w:rPr>
          <w:sz w:val="24"/>
        </w:rPr>
        <w:t>e-examine cut-scores for AP, IB, DSST and CLEP, driven by institutional data.</w:t>
      </w:r>
    </w:p>
    <w:p w:rsidR="00305543" w:rsidRDefault="00305543" w:rsidP="000A53E2">
      <w:pPr>
        <w:ind w:left="360"/>
        <w:jc w:val="both"/>
        <w:outlineLvl w:val="0"/>
        <w:rPr>
          <w:sz w:val="24"/>
        </w:rPr>
      </w:pPr>
    </w:p>
    <w:p w:rsidR="00FF4553" w:rsidRPr="00FF4553" w:rsidRDefault="00FF4553" w:rsidP="00FF4553">
      <w:pPr>
        <w:jc w:val="both"/>
        <w:outlineLvl w:val="0"/>
        <w:rPr>
          <w:sz w:val="24"/>
        </w:rPr>
      </w:pPr>
    </w:p>
    <w:p w:rsidR="00FF4553" w:rsidRPr="00FF4553" w:rsidRDefault="00FF4553" w:rsidP="00FF4553">
      <w:pPr>
        <w:jc w:val="both"/>
        <w:outlineLvl w:val="0"/>
        <w:rPr>
          <w:b/>
          <w:sz w:val="24"/>
        </w:rPr>
      </w:pPr>
      <w:r w:rsidRPr="00FF4553">
        <w:rPr>
          <w:b/>
          <w:sz w:val="24"/>
        </w:rPr>
        <w:t xml:space="preserve">Phase 3: Target Date – </w:t>
      </w:r>
      <w:r w:rsidR="00D317D0">
        <w:rPr>
          <w:b/>
          <w:sz w:val="24"/>
        </w:rPr>
        <w:t>December</w:t>
      </w:r>
      <w:r w:rsidRPr="00FF4553">
        <w:rPr>
          <w:b/>
          <w:sz w:val="24"/>
        </w:rPr>
        <w:t xml:space="preserve"> 2016</w:t>
      </w:r>
    </w:p>
    <w:p w:rsidR="00FF4553" w:rsidRPr="00FF4553" w:rsidRDefault="00FF4553" w:rsidP="00FF4553">
      <w:pPr>
        <w:spacing w:after="120"/>
        <w:jc w:val="both"/>
        <w:rPr>
          <w:bCs/>
          <w:sz w:val="24"/>
        </w:rPr>
      </w:pPr>
    </w:p>
    <w:p w:rsidR="00FF4553" w:rsidRPr="00FF4553" w:rsidRDefault="00FF4553" w:rsidP="00FF4553">
      <w:pPr>
        <w:spacing w:after="120"/>
        <w:jc w:val="both"/>
        <w:rPr>
          <w:bCs/>
          <w:sz w:val="24"/>
        </w:rPr>
      </w:pPr>
      <w:r w:rsidRPr="00FF4553">
        <w:rPr>
          <w:bCs/>
          <w:sz w:val="24"/>
        </w:rPr>
        <w:t xml:space="preserve">Reporting, </w:t>
      </w:r>
      <w:proofErr w:type="spellStart"/>
      <w:r w:rsidRPr="00FF4553">
        <w:rPr>
          <w:bCs/>
          <w:sz w:val="24"/>
        </w:rPr>
        <w:t>Transcripting</w:t>
      </w:r>
      <w:proofErr w:type="spellEnd"/>
      <w:r w:rsidRPr="00FF4553">
        <w:rPr>
          <w:bCs/>
          <w:sz w:val="24"/>
        </w:rPr>
        <w:t>, Communication and Periodic Review Goals</w:t>
      </w:r>
    </w:p>
    <w:p w:rsidR="00FF4553" w:rsidRPr="00FF4553" w:rsidRDefault="00FF4553" w:rsidP="00FF4553">
      <w:pPr>
        <w:pStyle w:val="ListParagraph"/>
        <w:numPr>
          <w:ilvl w:val="0"/>
          <w:numId w:val="46"/>
        </w:numPr>
        <w:spacing w:after="120"/>
        <w:jc w:val="both"/>
        <w:rPr>
          <w:rFonts w:ascii="Times New Roman" w:hAnsi="Times New Roman"/>
          <w:bCs/>
          <w:sz w:val="24"/>
          <w:szCs w:val="24"/>
        </w:rPr>
      </w:pPr>
      <w:r w:rsidRPr="00FF4553">
        <w:rPr>
          <w:rFonts w:ascii="Times New Roman" w:hAnsi="Times New Roman"/>
          <w:bCs/>
          <w:sz w:val="24"/>
          <w:szCs w:val="24"/>
        </w:rPr>
        <w:t xml:space="preserve">Academic Council takes up recommendations as they arise for goals </w:t>
      </w:r>
      <w:r w:rsidR="00D317D0">
        <w:rPr>
          <w:rFonts w:ascii="Times New Roman" w:hAnsi="Times New Roman"/>
          <w:bCs/>
          <w:sz w:val="24"/>
          <w:szCs w:val="24"/>
        </w:rPr>
        <w:t>1</w:t>
      </w:r>
      <w:r w:rsidRPr="00FF4553">
        <w:rPr>
          <w:rFonts w:ascii="Times New Roman" w:hAnsi="Times New Roman"/>
          <w:bCs/>
          <w:sz w:val="24"/>
          <w:szCs w:val="24"/>
        </w:rPr>
        <w:t>-</w:t>
      </w:r>
      <w:r w:rsidR="00D317D0">
        <w:rPr>
          <w:rFonts w:ascii="Times New Roman" w:hAnsi="Times New Roman"/>
          <w:bCs/>
          <w:sz w:val="24"/>
          <w:szCs w:val="24"/>
        </w:rPr>
        <w:t>7</w:t>
      </w:r>
      <w:r w:rsidRPr="00FF4553">
        <w:rPr>
          <w:rFonts w:ascii="Times New Roman" w:hAnsi="Times New Roman"/>
          <w:bCs/>
          <w:sz w:val="24"/>
          <w:szCs w:val="24"/>
        </w:rPr>
        <w:t xml:space="preserve"> and presents to the Constituent Review Team (CRT), then CRT to CCHE. </w:t>
      </w:r>
    </w:p>
    <w:p w:rsidR="00FF4553" w:rsidRPr="00FF4553" w:rsidRDefault="00FF4553" w:rsidP="00FF4553">
      <w:pPr>
        <w:jc w:val="both"/>
        <w:outlineLvl w:val="0"/>
        <w:rPr>
          <w:sz w:val="24"/>
        </w:rPr>
      </w:pPr>
      <w:r w:rsidRPr="00FF4553">
        <w:rPr>
          <w:sz w:val="24"/>
        </w:rPr>
        <w:t xml:space="preserve">CRT Engagement:  Given the analysis of data and recommendations from the AC and GEC, engage the CRT to review all data, analysis and recommendations. The CRT will request any additional data, analysis, raise questions on recommendations and provide a review of the process to date.  </w:t>
      </w:r>
    </w:p>
    <w:p w:rsidR="00FF4553" w:rsidRPr="00FF4553" w:rsidRDefault="00FF4553" w:rsidP="00FF4553">
      <w:pPr>
        <w:jc w:val="both"/>
        <w:outlineLvl w:val="0"/>
        <w:rPr>
          <w:sz w:val="24"/>
        </w:rPr>
      </w:pPr>
    </w:p>
    <w:p w:rsidR="00315BAF" w:rsidRPr="00305543" w:rsidRDefault="00FF4553" w:rsidP="00305543">
      <w:pPr>
        <w:spacing w:after="120"/>
        <w:jc w:val="both"/>
        <w:outlineLvl w:val="0"/>
        <w:rPr>
          <w:sz w:val="24"/>
        </w:rPr>
      </w:pPr>
      <w:r w:rsidRPr="00305543">
        <w:rPr>
          <w:sz w:val="24"/>
        </w:rPr>
        <w:t xml:space="preserve">Subsequent to final CCHE recommendations Goals </w:t>
      </w:r>
      <w:r w:rsidR="00D317D0">
        <w:rPr>
          <w:sz w:val="24"/>
        </w:rPr>
        <w:t>1</w:t>
      </w:r>
      <w:r w:rsidRPr="00305543">
        <w:rPr>
          <w:sz w:val="24"/>
        </w:rPr>
        <w:t>-</w:t>
      </w:r>
      <w:r w:rsidR="00D317D0">
        <w:rPr>
          <w:sz w:val="24"/>
        </w:rPr>
        <w:t>7</w:t>
      </w:r>
      <w:r w:rsidRPr="00305543">
        <w:rPr>
          <w:sz w:val="24"/>
        </w:rPr>
        <w:t xml:space="preserve"> will be completed by December 2016.</w:t>
      </w:r>
    </w:p>
    <w:p w:rsidR="002205F6" w:rsidRDefault="002205F6" w:rsidP="00315BAF">
      <w:pPr>
        <w:pStyle w:val="ListParagraph"/>
        <w:spacing w:after="120" w:line="240" w:lineRule="auto"/>
        <w:contextualSpacing w:val="0"/>
        <w:jc w:val="both"/>
        <w:outlineLvl w:val="0"/>
        <w:rPr>
          <w:rFonts w:ascii="Times New Roman" w:hAnsi="Times New Roman"/>
          <w:sz w:val="24"/>
        </w:rPr>
      </w:pPr>
    </w:p>
    <w:p w:rsidR="002A0220" w:rsidRPr="002A0220" w:rsidRDefault="002A0220" w:rsidP="003774DD">
      <w:pPr>
        <w:numPr>
          <w:ilvl w:val="0"/>
          <w:numId w:val="2"/>
        </w:numPr>
        <w:spacing w:after="200" w:line="276" w:lineRule="auto"/>
        <w:jc w:val="both"/>
        <w:rPr>
          <w:b/>
          <w:sz w:val="24"/>
        </w:rPr>
      </w:pPr>
      <w:r w:rsidRPr="002A0220">
        <w:rPr>
          <w:b/>
          <w:sz w:val="24"/>
          <w:u w:val="single"/>
        </w:rPr>
        <w:t>STAFF RECOMMENDATION</w:t>
      </w:r>
    </w:p>
    <w:p w:rsidR="00FE6617" w:rsidRDefault="009118E0" w:rsidP="00FE6617">
      <w:pPr>
        <w:spacing w:after="200" w:line="276" w:lineRule="auto"/>
        <w:jc w:val="both"/>
        <w:rPr>
          <w:b/>
          <w:sz w:val="24"/>
        </w:rPr>
      </w:pPr>
      <w:r>
        <w:rPr>
          <w:b/>
          <w:sz w:val="24"/>
        </w:rPr>
        <w:t xml:space="preserve">Staff recommends that the Commission approve this </w:t>
      </w:r>
      <w:r w:rsidR="00653FCB">
        <w:rPr>
          <w:b/>
          <w:sz w:val="24"/>
        </w:rPr>
        <w:t>inclusive process for the development of a</w:t>
      </w:r>
      <w:r>
        <w:rPr>
          <w:b/>
          <w:sz w:val="24"/>
        </w:rPr>
        <w:t xml:space="preserve"> statewide prior learning assessment policy.</w:t>
      </w:r>
    </w:p>
    <w:p w:rsidR="002A0220" w:rsidRPr="00C842AC" w:rsidRDefault="002A0220" w:rsidP="002A0220">
      <w:pPr>
        <w:ind w:left="90"/>
        <w:jc w:val="both"/>
        <w:rPr>
          <w:b/>
          <w:sz w:val="24"/>
        </w:rPr>
      </w:pPr>
      <w:r w:rsidRPr="00C842AC">
        <w:rPr>
          <w:b/>
          <w:sz w:val="24"/>
          <w:u w:val="single"/>
        </w:rPr>
        <w:t>STATUTORY AUTHORITY</w:t>
      </w:r>
    </w:p>
    <w:p w:rsidR="00C84E02" w:rsidRDefault="00C84E02" w:rsidP="00C84E02">
      <w:pPr>
        <w:rPr>
          <w:sz w:val="24"/>
        </w:rPr>
      </w:pPr>
    </w:p>
    <w:p w:rsidR="00653A41" w:rsidRDefault="00653A41" w:rsidP="00576131">
      <w:pPr>
        <w:rPr>
          <w:b/>
          <w:sz w:val="24"/>
        </w:rPr>
      </w:pPr>
      <w:r>
        <w:rPr>
          <w:b/>
          <w:sz w:val="24"/>
        </w:rPr>
        <w:t xml:space="preserve">*Note: </w:t>
      </w:r>
      <w:r w:rsidRPr="00653A41">
        <w:rPr>
          <w:sz w:val="24"/>
        </w:rPr>
        <w:t xml:space="preserve">Pertinent parts of the following statutes have been </w:t>
      </w:r>
      <w:r w:rsidRPr="0087655D">
        <w:rPr>
          <w:b/>
          <w:sz w:val="24"/>
          <w:u w:val="single"/>
        </w:rPr>
        <w:t>underlined</w:t>
      </w:r>
      <w:r w:rsidR="0087655D">
        <w:rPr>
          <w:b/>
          <w:sz w:val="24"/>
          <w:u w:val="single"/>
        </w:rPr>
        <w:t xml:space="preserve"> and</w:t>
      </w:r>
      <w:r w:rsidR="0087655D" w:rsidRPr="0087655D">
        <w:rPr>
          <w:b/>
          <w:sz w:val="24"/>
          <w:u w:val="single"/>
        </w:rPr>
        <w:t xml:space="preserve"> </w:t>
      </w:r>
      <w:r w:rsidR="0087655D">
        <w:rPr>
          <w:b/>
          <w:sz w:val="24"/>
          <w:u w:val="single"/>
        </w:rPr>
        <w:t xml:space="preserve">put in </w:t>
      </w:r>
      <w:r w:rsidR="0087655D" w:rsidRPr="0087655D">
        <w:rPr>
          <w:b/>
          <w:sz w:val="24"/>
          <w:u w:val="single"/>
        </w:rPr>
        <w:t>bold</w:t>
      </w:r>
      <w:r w:rsidRPr="00653A41">
        <w:rPr>
          <w:sz w:val="24"/>
        </w:rPr>
        <w:t xml:space="preserve"> to help identify statutory authority for the policy recommendations herein.</w:t>
      </w:r>
    </w:p>
    <w:p w:rsidR="00653A41" w:rsidRDefault="00653A41" w:rsidP="00576131">
      <w:pPr>
        <w:rPr>
          <w:b/>
          <w:sz w:val="24"/>
        </w:rPr>
      </w:pPr>
    </w:p>
    <w:p w:rsidR="00576131" w:rsidRPr="00576131" w:rsidRDefault="00653A41" w:rsidP="00576131">
      <w:pPr>
        <w:rPr>
          <w:sz w:val="24"/>
        </w:rPr>
      </w:pPr>
      <w:r>
        <w:rPr>
          <w:b/>
          <w:sz w:val="24"/>
        </w:rPr>
        <w:t xml:space="preserve"> </w:t>
      </w:r>
      <w:proofErr w:type="gramStart"/>
      <w:r w:rsidR="00C84E02" w:rsidRPr="00576131">
        <w:rPr>
          <w:b/>
          <w:sz w:val="24"/>
        </w:rPr>
        <w:t>C.R.S. §23-</w:t>
      </w:r>
      <w:r w:rsidR="00847572" w:rsidRPr="00576131">
        <w:rPr>
          <w:b/>
          <w:sz w:val="24"/>
        </w:rPr>
        <w:t>1-108</w:t>
      </w:r>
      <w:r w:rsidR="00576131" w:rsidRPr="00576131">
        <w:rPr>
          <w:b/>
          <w:bCs/>
          <w:sz w:val="24"/>
        </w:rPr>
        <w:t>.</w:t>
      </w:r>
      <w:proofErr w:type="gramEnd"/>
      <w:r w:rsidR="00576131" w:rsidRPr="00576131">
        <w:rPr>
          <w:sz w:val="24"/>
        </w:rPr>
        <w:t xml:space="preserve"> Duties and powers of the commission with regard to </w:t>
      </w:r>
      <w:proofErr w:type="spellStart"/>
      <w:r w:rsidR="00576131" w:rsidRPr="00576131">
        <w:rPr>
          <w:sz w:val="24"/>
        </w:rPr>
        <w:t>systemwide</w:t>
      </w:r>
      <w:proofErr w:type="spellEnd"/>
      <w:r w:rsidR="00576131" w:rsidRPr="00576131">
        <w:rPr>
          <w:sz w:val="24"/>
        </w:rPr>
        <w:t xml:space="preserve"> planning </w:t>
      </w:r>
    </w:p>
    <w:p w:rsidR="00576131" w:rsidRPr="00576131" w:rsidRDefault="00576131" w:rsidP="00576131">
      <w:pPr>
        <w:rPr>
          <w:sz w:val="24"/>
        </w:rPr>
      </w:pPr>
    </w:p>
    <w:p w:rsidR="00847572" w:rsidRPr="00576131" w:rsidRDefault="00576131" w:rsidP="00576131">
      <w:pPr>
        <w:rPr>
          <w:sz w:val="24"/>
        </w:rPr>
      </w:pPr>
      <w:r w:rsidRPr="00576131">
        <w:rPr>
          <w:sz w:val="24"/>
        </w:rPr>
        <w:t xml:space="preserve">(7) (a) …The statewide degree transfer agreements shall include provisions under which state </w:t>
      </w:r>
      <w:r w:rsidRPr="0087655D">
        <w:rPr>
          <w:b/>
          <w:sz w:val="24"/>
          <w:u w:val="single"/>
        </w:rPr>
        <w:t>institutions of higher education shall accept all credit hours of acceptable course work for automatic transfer</w:t>
      </w:r>
      <w:r w:rsidRPr="00576131">
        <w:rPr>
          <w:sz w:val="24"/>
        </w:rPr>
        <w:t xml:space="preserve"> from an associate of arts, associate of applied science, or associate of science degree program in another state institution of higher education in Colorado. The commission shall have final authority in resolving transfer disputes. </w:t>
      </w:r>
    </w:p>
    <w:p w:rsidR="00576131" w:rsidRDefault="00576131" w:rsidP="00576131">
      <w:pPr>
        <w:jc w:val="both"/>
        <w:outlineLvl w:val="0"/>
        <w:rPr>
          <w:b/>
          <w:sz w:val="24"/>
        </w:rPr>
      </w:pPr>
    </w:p>
    <w:p w:rsidR="00781280" w:rsidRPr="00576131" w:rsidRDefault="00576131" w:rsidP="00576131">
      <w:pPr>
        <w:jc w:val="both"/>
        <w:outlineLvl w:val="0"/>
        <w:rPr>
          <w:sz w:val="24"/>
        </w:rPr>
      </w:pPr>
      <w:proofErr w:type="gramStart"/>
      <w:r w:rsidRPr="00576131">
        <w:rPr>
          <w:b/>
          <w:sz w:val="24"/>
        </w:rPr>
        <w:t>C.R.S. §</w:t>
      </w:r>
      <w:r w:rsidRPr="00576131">
        <w:rPr>
          <w:b/>
          <w:bCs/>
          <w:sz w:val="24"/>
        </w:rPr>
        <w:t>23-1-108.5.</w:t>
      </w:r>
      <w:proofErr w:type="gramEnd"/>
      <w:r w:rsidRPr="00576131">
        <w:rPr>
          <w:sz w:val="24"/>
        </w:rPr>
        <w:t xml:space="preserve"> Duties and powers of the commission with regard to common course numbering system</w:t>
      </w:r>
    </w:p>
    <w:p w:rsidR="00576131" w:rsidRPr="00576131" w:rsidRDefault="00576131" w:rsidP="00576131">
      <w:pPr>
        <w:jc w:val="both"/>
        <w:outlineLvl w:val="0"/>
        <w:rPr>
          <w:sz w:val="24"/>
        </w:rPr>
      </w:pPr>
    </w:p>
    <w:p w:rsidR="00576131" w:rsidRPr="00576131" w:rsidRDefault="00576131" w:rsidP="00576131">
      <w:pPr>
        <w:jc w:val="both"/>
        <w:outlineLvl w:val="0"/>
        <w:rPr>
          <w:b/>
          <w:sz w:val="24"/>
        </w:rPr>
      </w:pPr>
      <w:r w:rsidRPr="00576131">
        <w:rPr>
          <w:sz w:val="24"/>
        </w:rPr>
        <w:t xml:space="preserve">(5) </w:t>
      </w:r>
      <w:r w:rsidRPr="0087655D">
        <w:rPr>
          <w:b/>
          <w:sz w:val="24"/>
          <w:u w:val="single"/>
        </w:rPr>
        <w:t>All credits earned by a student in any general education course</w:t>
      </w:r>
      <w:r w:rsidRPr="00576131">
        <w:rPr>
          <w:sz w:val="24"/>
        </w:rPr>
        <w:t xml:space="preserve"> identified as corresponding with a course included in the course numbering system</w:t>
      </w:r>
      <w:r w:rsidR="00653A41">
        <w:rPr>
          <w:sz w:val="24"/>
        </w:rPr>
        <w:t xml:space="preserve"> [gtPathways]</w:t>
      </w:r>
      <w:r w:rsidRPr="00576131">
        <w:rPr>
          <w:sz w:val="24"/>
        </w:rPr>
        <w:t xml:space="preserve"> </w:t>
      </w:r>
      <w:r w:rsidRPr="0087655D">
        <w:rPr>
          <w:b/>
          <w:sz w:val="24"/>
          <w:u w:val="single"/>
        </w:rPr>
        <w:t>shall be automatically transferable among all higher education institutions</w:t>
      </w:r>
      <w:r w:rsidRPr="00576131">
        <w:rPr>
          <w:sz w:val="24"/>
        </w:rPr>
        <w:t xml:space="preserve"> upon transfer and enrollment of the student… </w:t>
      </w:r>
      <w:r w:rsidRPr="0087655D">
        <w:rPr>
          <w:b/>
          <w:sz w:val="24"/>
          <w:u w:val="single"/>
        </w:rPr>
        <w:t>The commission shall adopt such policies and guidelines as may be necessary for the implementation of this section</w:t>
      </w:r>
      <w:r w:rsidRPr="0087655D">
        <w:rPr>
          <w:b/>
          <w:sz w:val="24"/>
        </w:rPr>
        <w:t xml:space="preserve">. </w:t>
      </w:r>
      <w:r w:rsidRPr="0087655D">
        <w:rPr>
          <w:b/>
          <w:sz w:val="24"/>
          <w:u w:val="single"/>
        </w:rPr>
        <w:t>Each governing board shall modify its existing policies as may be necessary to accept the transfer of these credits</w:t>
      </w:r>
      <w:r w:rsidRPr="00576131">
        <w:rPr>
          <w:sz w:val="24"/>
        </w:rPr>
        <w:t>.</w:t>
      </w:r>
    </w:p>
    <w:p w:rsidR="00576131" w:rsidRPr="00576131" w:rsidRDefault="00576131" w:rsidP="00576131">
      <w:pPr>
        <w:jc w:val="both"/>
        <w:rPr>
          <w:b/>
          <w:sz w:val="24"/>
        </w:rPr>
      </w:pPr>
    </w:p>
    <w:p w:rsidR="00576131" w:rsidRPr="00576131" w:rsidRDefault="00576131" w:rsidP="00576131">
      <w:pPr>
        <w:jc w:val="both"/>
        <w:rPr>
          <w:sz w:val="24"/>
        </w:rPr>
      </w:pPr>
      <w:proofErr w:type="gramStart"/>
      <w:r w:rsidRPr="00576131">
        <w:rPr>
          <w:b/>
          <w:sz w:val="24"/>
        </w:rPr>
        <w:t>C.R.S. §</w:t>
      </w:r>
      <w:r w:rsidRPr="00576131">
        <w:rPr>
          <w:b/>
          <w:bCs/>
          <w:sz w:val="24"/>
        </w:rPr>
        <w:t>23-1-113.2.</w:t>
      </w:r>
      <w:proofErr w:type="gramEnd"/>
      <w:r w:rsidRPr="00576131">
        <w:rPr>
          <w:sz w:val="24"/>
        </w:rPr>
        <w:t xml:space="preserve"> Department directive - admission standards for students holding international baccalaureate diplomas</w:t>
      </w:r>
    </w:p>
    <w:p w:rsidR="00576131" w:rsidRPr="00576131" w:rsidRDefault="00576131" w:rsidP="00576131">
      <w:pPr>
        <w:jc w:val="both"/>
        <w:rPr>
          <w:sz w:val="24"/>
        </w:rPr>
      </w:pPr>
    </w:p>
    <w:p w:rsidR="00781280" w:rsidRPr="00576131" w:rsidRDefault="00576131" w:rsidP="00576131">
      <w:pPr>
        <w:jc w:val="both"/>
        <w:rPr>
          <w:b/>
          <w:sz w:val="24"/>
        </w:rPr>
      </w:pPr>
      <w:r w:rsidRPr="00576131">
        <w:rPr>
          <w:sz w:val="24"/>
        </w:rPr>
        <w:t>(2) (a) The department shall ensure that each governing board of a state-supported baccalaureate and graduate institution of higher education in the state adopt and implement, for each of the institutions under its control, a policy for the acceptance of first-time freshman students who have successfully completed an international baccalaureate diploma program.</w:t>
      </w:r>
      <w:r w:rsidRPr="00576131">
        <w:rPr>
          <w:sz w:val="24"/>
        </w:rPr>
        <w:br/>
      </w:r>
      <w:r w:rsidRPr="00576131">
        <w:rPr>
          <w:sz w:val="24"/>
        </w:rPr>
        <w:br/>
        <w:t>(b) Each governing board shall report the policy adopted and implemented pursuant to paragraph (a) of this subsection (2) to the department and shall make the policy available to the public in an electronic format.</w:t>
      </w:r>
      <w:r w:rsidRPr="00576131">
        <w:rPr>
          <w:sz w:val="24"/>
        </w:rPr>
        <w:br/>
      </w:r>
      <w:r w:rsidRPr="00576131">
        <w:rPr>
          <w:sz w:val="24"/>
        </w:rPr>
        <w:br/>
        <w:t xml:space="preserve">(c) </w:t>
      </w:r>
      <w:r w:rsidRPr="0087655D">
        <w:rPr>
          <w:b/>
          <w:sz w:val="24"/>
          <w:u w:val="single"/>
        </w:rPr>
        <w:t>Each governing board shall set the number of credits the institution may grant to a student who has successfully completed an international baccalaureate diploma program</w:t>
      </w:r>
      <w:r w:rsidRPr="00576131">
        <w:rPr>
          <w:sz w:val="24"/>
        </w:rPr>
        <w:t xml:space="preserve">. Except as otherwise provided in paragraph (d) of this subsection (2), </w:t>
      </w:r>
      <w:r w:rsidRPr="0087655D">
        <w:rPr>
          <w:b/>
          <w:sz w:val="24"/>
          <w:u w:val="single"/>
        </w:rPr>
        <w:t xml:space="preserve">the number of credits granted by an institution shall be, at a minimum, twenty-four semester credits or their </w:t>
      </w:r>
      <w:r w:rsidRPr="0087655D">
        <w:rPr>
          <w:b/>
          <w:sz w:val="24"/>
          <w:u w:val="single"/>
        </w:rPr>
        <w:lastRenderedPageBreak/>
        <w:t>equivalent</w:t>
      </w:r>
      <w:r w:rsidRPr="00576131">
        <w:rPr>
          <w:sz w:val="24"/>
        </w:rPr>
        <w:t xml:space="preserve">. Each governing board </w:t>
      </w:r>
      <w:r w:rsidRPr="0087655D">
        <w:rPr>
          <w:b/>
          <w:sz w:val="24"/>
          <w:u w:val="single"/>
        </w:rPr>
        <w:t>shall identify the specific general education or elective requirements</w:t>
      </w:r>
      <w:r w:rsidRPr="00576131">
        <w:rPr>
          <w:sz w:val="24"/>
        </w:rPr>
        <w:t xml:space="preserve"> that the student satisfies by having successfully completed the international baccalaureate diploma program and shall outline the conditions necessary to award the credits.</w:t>
      </w:r>
      <w:r w:rsidRPr="00576131">
        <w:rPr>
          <w:sz w:val="24"/>
        </w:rPr>
        <w:br/>
      </w:r>
      <w:r w:rsidRPr="00576131">
        <w:rPr>
          <w:sz w:val="24"/>
        </w:rPr>
        <w:br/>
        <w:t xml:space="preserve">(d) Each institution may determine the level of student performance necessary to grant the credits, as measured by a student's exam performance in the specific courses constituting the international baccalaureate diploma program. </w:t>
      </w:r>
      <w:r w:rsidRPr="0087655D">
        <w:rPr>
          <w:b/>
          <w:sz w:val="24"/>
          <w:u w:val="single"/>
        </w:rPr>
        <w:t>An institution may only grant less than twenty-four semester credits or their equivalent if the student has received a score of less than four on an exam administered as part of the international baccalaureate diploma program</w:t>
      </w:r>
      <w:r w:rsidRPr="00576131">
        <w:rPr>
          <w:sz w:val="24"/>
        </w:rPr>
        <w:t>, in which case the number of semester credits or their equivalent granted by the institution shall be reduced accordingly.</w:t>
      </w:r>
      <w:r w:rsidRPr="00576131">
        <w:rPr>
          <w:sz w:val="24"/>
        </w:rPr>
        <w:br/>
      </w:r>
      <w:r w:rsidRPr="00576131">
        <w:rPr>
          <w:sz w:val="24"/>
        </w:rPr>
        <w:br/>
        <w:t>(3) The provisions of this section shall not apply to any institution of higher education that has entered into a performance contract with the commission as an exemplary institution of higher education.</w:t>
      </w:r>
      <w:r w:rsidRPr="00576131">
        <w:rPr>
          <w:sz w:val="24"/>
        </w:rPr>
        <w:br/>
      </w:r>
      <w:r w:rsidRPr="00576131">
        <w:rPr>
          <w:sz w:val="24"/>
        </w:rPr>
        <w:br/>
      </w:r>
      <w:proofErr w:type="gramStart"/>
      <w:r w:rsidRPr="00576131">
        <w:rPr>
          <w:b/>
          <w:sz w:val="24"/>
        </w:rPr>
        <w:t>C.R.S. §</w:t>
      </w:r>
      <w:r w:rsidRPr="00576131">
        <w:rPr>
          <w:b/>
          <w:bCs/>
          <w:sz w:val="24"/>
        </w:rPr>
        <w:t>23-1-125.</w:t>
      </w:r>
      <w:proofErr w:type="gramEnd"/>
      <w:r w:rsidRPr="00576131">
        <w:rPr>
          <w:sz w:val="24"/>
        </w:rPr>
        <w:t xml:space="preserve"> Commission directive - student bill of rights - degree requirements - implementation of core courses - competency test - prior </w:t>
      </w:r>
      <w:proofErr w:type="gramStart"/>
      <w:r w:rsidRPr="00576131">
        <w:rPr>
          <w:sz w:val="24"/>
        </w:rPr>
        <w:t>learning</w:t>
      </w:r>
      <w:proofErr w:type="gramEnd"/>
      <w:r w:rsidRPr="00576131">
        <w:rPr>
          <w:sz w:val="24"/>
        </w:rPr>
        <w:br/>
      </w:r>
      <w:r w:rsidRPr="00576131">
        <w:rPr>
          <w:sz w:val="24"/>
        </w:rPr>
        <w:br/>
        <w:t>(1) Student bill of rights. The general assembly hereby finds that students enrolled in public institutions of higher education shall have the following rights:</w:t>
      </w:r>
      <w:r w:rsidRPr="00576131">
        <w:rPr>
          <w:sz w:val="24"/>
        </w:rPr>
        <w:br/>
      </w:r>
      <w:r w:rsidRPr="00576131">
        <w:rPr>
          <w:sz w:val="24"/>
        </w:rPr>
        <w:br/>
        <w:t xml:space="preserve">(a) </w:t>
      </w:r>
      <w:r w:rsidRPr="0087655D">
        <w:rPr>
          <w:b/>
          <w:sz w:val="24"/>
          <w:u w:val="single"/>
        </w:rPr>
        <w:t>Students should be able to complete their associate of arts and associate of science degree programs in no more than sixty credit hours or their baccalaureate programs in no more than one hundred twenty credit hours</w:t>
      </w:r>
      <w:r w:rsidRPr="00576131">
        <w:rPr>
          <w:sz w:val="24"/>
        </w:rPr>
        <w:t xml:space="preserve"> unless there are additional degree requirements recognized by the commission;</w:t>
      </w:r>
      <w:r w:rsidRPr="00576131">
        <w:rPr>
          <w:sz w:val="24"/>
        </w:rPr>
        <w:br/>
      </w:r>
      <w:r w:rsidRPr="00576131">
        <w:rPr>
          <w:sz w:val="24"/>
        </w:rPr>
        <w:br/>
        <w:t>(b) A student can sign a two-year or four-year graduation agreement that formalizes a plan for that student to obtain a degree in two or four years, unless there are additional degree requirements recognized by the commission;</w:t>
      </w:r>
      <w:r w:rsidRPr="00576131">
        <w:rPr>
          <w:sz w:val="24"/>
        </w:rPr>
        <w:br/>
      </w:r>
      <w:r w:rsidRPr="00576131">
        <w:rPr>
          <w:sz w:val="24"/>
        </w:rPr>
        <w:br/>
        <w:t>(c) Students have a right to clear and concise information concerning which courses must be completed successfully to complete their degrees;</w:t>
      </w:r>
      <w:r w:rsidRPr="00576131">
        <w:rPr>
          <w:sz w:val="24"/>
        </w:rPr>
        <w:br/>
      </w:r>
      <w:r w:rsidRPr="00576131">
        <w:rPr>
          <w:sz w:val="24"/>
        </w:rPr>
        <w:br/>
        <w:t xml:space="preserve">(d) </w:t>
      </w:r>
      <w:r w:rsidRPr="0087655D">
        <w:rPr>
          <w:b/>
          <w:sz w:val="24"/>
          <w:u w:val="single"/>
        </w:rPr>
        <w:t>Students have a right to know which courses are transferable among the state public two-year and four-year institutions of higher education</w:t>
      </w:r>
      <w:r w:rsidRPr="00576131">
        <w:rPr>
          <w:sz w:val="24"/>
        </w:rPr>
        <w:t>;</w:t>
      </w:r>
      <w:r w:rsidRPr="00576131">
        <w:rPr>
          <w:sz w:val="24"/>
        </w:rPr>
        <w:br/>
      </w:r>
      <w:r w:rsidRPr="00576131">
        <w:rPr>
          <w:sz w:val="24"/>
        </w:rPr>
        <w:br/>
        <w:t xml:space="preserve">(e) </w:t>
      </w:r>
      <w:r w:rsidRPr="0087655D">
        <w:rPr>
          <w:b/>
          <w:sz w:val="24"/>
          <w:u w:val="single"/>
        </w:rPr>
        <w:t>Students, upon completion of core general education courses, regardless of the delivery method, should have those courses satisfy the core course requirements of all Colorado public institutions of higher education</w:t>
      </w:r>
      <w:r w:rsidRPr="00576131">
        <w:rPr>
          <w:sz w:val="24"/>
        </w:rPr>
        <w:t>;</w:t>
      </w:r>
      <w:r w:rsidRPr="00576131">
        <w:rPr>
          <w:sz w:val="24"/>
        </w:rPr>
        <w:br/>
      </w:r>
      <w:r w:rsidRPr="00576131">
        <w:rPr>
          <w:sz w:val="24"/>
        </w:rPr>
        <w:br/>
        <w:t xml:space="preserve">(f) </w:t>
      </w:r>
      <w:r w:rsidRPr="0087655D">
        <w:rPr>
          <w:b/>
          <w:sz w:val="24"/>
          <w:u w:val="single"/>
        </w:rPr>
        <w:t>Students have a right to know if courses from one or more public higher education institutions satisfy the students' degree requirements</w:t>
      </w:r>
      <w:r w:rsidRPr="00576131">
        <w:rPr>
          <w:sz w:val="24"/>
        </w:rPr>
        <w:t>;</w:t>
      </w:r>
      <w:r w:rsidRPr="00576131">
        <w:rPr>
          <w:sz w:val="24"/>
        </w:rPr>
        <w:br/>
      </w:r>
      <w:r w:rsidRPr="00576131">
        <w:rPr>
          <w:sz w:val="24"/>
        </w:rPr>
        <w:br/>
        <w:t xml:space="preserve">(g) </w:t>
      </w:r>
      <w:r w:rsidRPr="0087655D">
        <w:rPr>
          <w:b/>
          <w:sz w:val="24"/>
          <w:u w:val="single"/>
        </w:rPr>
        <w:t>A student's credit for the completion of the core requirements and core courses</w:t>
      </w:r>
      <w:r w:rsidRPr="00576131">
        <w:rPr>
          <w:sz w:val="24"/>
        </w:rPr>
        <w:t xml:space="preserve"> shall not expire for ten years from the date of initial enrollment and </w:t>
      </w:r>
      <w:r w:rsidRPr="0087655D">
        <w:rPr>
          <w:b/>
          <w:sz w:val="24"/>
          <w:u w:val="single"/>
        </w:rPr>
        <w:t>shall be transferrable</w:t>
      </w:r>
      <w:r w:rsidR="00CB198A">
        <w:rPr>
          <w:sz w:val="24"/>
        </w:rPr>
        <w:t>…</w:t>
      </w:r>
      <w:r w:rsidRPr="00576131">
        <w:rPr>
          <w:sz w:val="24"/>
        </w:rPr>
        <w:br/>
      </w:r>
      <w:r w:rsidRPr="00576131">
        <w:rPr>
          <w:sz w:val="24"/>
        </w:rPr>
        <w:br/>
        <w:t xml:space="preserve">(3) Core courses. The department, in consultation with each Colorado public institution of higher </w:t>
      </w:r>
      <w:r w:rsidRPr="00576131">
        <w:rPr>
          <w:sz w:val="24"/>
        </w:rPr>
        <w:lastRenderedPageBreak/>
        <w:t xml:space="preserve">education, is directed to outline a plan to implement a core course concept that defines the general education course guidelines for all public institutions of higher education. The core of courses shall be designed to ensure that students demonstrate competency in reading, critical thinking, written communication, mathematics, and technology. The core of courses shall consist of at least thirty credit hours but shall not exceed forty credit hours. Individual institutions of higher education shall </w:t>
      </w:r>
      <w:proofErr w:type="gramStart"/>
      <w:r w:rsidRPr="00576131">
        <w:rPr>
          <w:sz w:val="24"/>
        </w:rPr>
        <w:t>conform</w:t>
      </w:r>
      <w:proofErr w:type="gramEnd"/>
      <w:r w:rsidRPr="00576131">
        <w:rPr>
          <w:sz w:val="24"/>
        </w:rPr>
        <w:t xml:space="preserve"> their own core course requirements with the guidelines developed by the department and shall identify the specific courses that meet the general education course guidelines. Any such guidelines developed by the department shall be submitted to the commission for its approval. In creating and adopting the guidelines, the department and the commission, in collaboration with the public institutions of higher education, may make allowances for baccalaureate programs that have additional degree requirements recognized by the commission. If a statewide matrix of core courses is adopted by the commission, the courses identified by the individual institutions as meeting the general education course guidelines shall be included in the matrix. </w:t>
      </w:r>
      <w:r w:rsidRPr="0087655D">
        <w:rPr>
          <w:b/>
          <w:sz w:val="24"/>
          <w:u w:val="single"/>
        </w:rPr>
        <w:t>The commission shall adopt such policies to ensure that institutions develop the most effective way to implement the transferability of core course</w:t>
      </w:r>
      <w:r w:rsidR="00CB198A" w:rsidRPr="0087655D">
        <w:rPr>
          <w:b/>
          <w:sz w:val="24"/>
          <w:u w:val="single"/>
        </w:rPr>
        <w:t xml:space="preserve"> [gtPathways]</w:t>
      </w:r>
      <w:r w:rsidRPr="0087655D">
        <w:rPr>
          <w:b/>
          <w:sz w:val="24"/>
          <w:u w:val="single"/>
        </w:rPr>
        <w:t xml:space="preserve"> credits</w:t>
      </w:r>
      <w:r w:rsidRPr="00CB198A">
        <w:rPr>
          <w:sz w:val="24"/>
          <w:u w:val="single"/>
        </w:rPr>
        <w:t>.</w:t>
      </w:r>
      <w:r w:rsidRPr="00576131">
        <w:rPr>
          <w:sz w:val="24"/>
        </w:rPr>
        <w:br/>
      </w:r>
      <w:r w:rsidRPr="00576131">
        <w:rPr>
          <w:sz w:val="24"/>
        </w:rPr>
        <w:br/>
        <w:t xml:space="preserve">(4) </w:t>
      </w:r>
      <w:r w:rsidRPr="0087655D">
        <w:rPr>
          <w:b/>
          <w:sz w:val="24"/>
          <w:u w:val="single"/>
        </w:rPr>
        <w:t>Competency testing. On or before July 1, 2010, the commission shall, in consultation with each public institution of higher education, define a process for students to test out of core courses, including specifying use of a national test or the criteria for approving institutionally devised tests. Beginning in the 2010-11 academic year, each public institution of higher education shall grant full course credits to students for the core courses they successfully test out of, free of tuition for those courses</w:t>
      </w:r>
      <w:r w:rsidRPr="00CB198A">
        <w:rPr>
          <w:sz w:val="24"/>
          <w:u w:val="single"/>
        </w:rPr>
        <w:t>.</w:t>
      </w:r>
      <w:r w:rsidRPr="00576131">
        <w:rPr>
          <w:sz w:val="24"/>
        </w:rPr>
        <w:br/>
      </w:r>
      <w:r w:rsidRPr="00576131">
        <w:rPr>
          <w:sz w:val="24"/>
        </w:rPr>
        <w:br/>
      </w:r>
      <w:proofErr w:type="gramStart"/>
      <w:r w:rsidRPr="00576131">
        <w:rPr>
          <w:sz w:val="24"/>
        </w:rPr>
        <w:t xml:space="preserve">(4.5) </w:t>
      </w:r>
      <w:r w:rsidRPr="0087655D">
        <w:rPr>
          <w:b/>
          <w:sz w:val="24"/>
          <w:u w:val="single"/>
        </w:rPr>
        <w:t>Prior learning.</w:t>
      </w:r>
      <w:proofErr w:type="gramEnd"/>
      <w:r w:rsidRPr="0087655D">
        <w:rPr>
          <w:b/>
          <w:sz w:val="24"/>
          <w:u w:val="single"/>
        </w:rPr>
        <w:t xml:space="preserve"> Beginning in the 2013-14 academic year, each public institution of higher education shall adopt and make public a policy or program to determine academic credit for prior learning.</w:t>
      </w:r>
    </w:p>
    <w:p w:rsidR="00576131" w:rsidRDefault="00576131" w:rsidP="00781280">
      <w:pPr>
        <w:jc w:val="both"/>
        <w:rPr>
          <w:b/>
          <w:sz w:val="24"/>
        </w:rPr>
      </w:pPr>
    </w:p>
    <w:p w:rsidR="00781280" w:rsidRDefault="00781280" w:rsidP="00781280">
      <w:pPr>
        <w:jc w:val="both"/>
        <w:rPr>
          <w:b/>
          <w:sz w:val="24"/>
        </w:rPr>
      </w:pPr>
    </w:p>
    <w:p w:rsidR="008F69C4" w:rsidRDefault="008F69C4" w:rsidP="00781280">
      <w:pPr>
        <w:jc w:val="both"/>
        <w:rPr>
          <w:b/>
          <w:sz w:val="24"/>
        </w:rPr>
      </w:pPr>
    </w:p>
    <w:p w:rsidR="00A621CA" w:rsidRPr="00A621CA" w:rsidRDefault="00D8554E" w:rsidP="00C84E02">
      <w:pPr>
        <w:rPr>
          <w:b/>
          <w:sz w:val="24"/>
        </w:rPr>
      </w:pPr>
      <w:r>
        <w:rPr>
          <w:b/>
          <w:sz w:val="24"/>
        </w:rPr>
        <w:t>APPENDICES</w:t>
      </w:r>
      <w:r w:rsidR="00A621CA" w:rsidRPr="00A621CA">
        <w:rPr>
          <w:b/>
          <w:sz w:val="24"/>
        </w:rPr>
        <w:t>:</w:t>
      </w:r>
    </w:p>
    <w:p w:rsidR="006E09E9" w:rsidRDefault="006E09E9" w:rsidP="00A91D43">
      <w:pPr>
        <w:outlineLvl w:val="0"/>
        <w:rPr>
          <w:sz w:val="24"/>
        </w:rPr>
      </w:pPr>
    </w:p>
    <w:p w:rsidR="00B23798" w:rsidRDefault="00B23798" w:rsidP="00353A6F">
      <w:pPr>
        <w:ind w:left="1296" w:hanging="1296"/>
        <w:rPr>
          <w:sz w:val="24"/>
        </w:rPr>
      </w:pPr>
      <w:r w:rsidRPr="00B23798">
        <w:rPr>
          <w:sz w:val="24"/>
        </w:rPr>
        <w:t>Appendix A: Colorado Institutions’ PLA Policies</w:t>
      </w:r>
    </w:p>
    <w:p w:rsidR="00B23798" w:rsidRPr="00B23798" w:rsidRDefault="00B23798" w:rsidP="00353A6F">
      <w:pPr>
        <w:ind w:left="1296" w:hanging="1296"/>
        <w:rPr>
          <w:sz w:val="24"/>
        </w:rPr>
      </w:pPr>
      <w:r w:rsidRPr="00B23798">
        <w:rPr>
          <w:sz w:val="24"/>
        </w:rPr>
        <w:t>Appendix B: Other States’ PLA Policies &amp; Cut Scores</w:t>
      </w:r>
    </w:p>
    <w:p w:rsidR="00B23798" w:rsidRDefault="00B23798" w:rsidP="00353A6F">
      <w:pPr>
        <w:pStyle w:val="NoSpacing"/>
        <w:ind w:left="1296" w:hanging="1296"/>
        <w:rPr>
          <w:sz w:val="24"/>
        </w:rPr>
      </w:pPr>
      <w:r w:rsidRPr="00B23798">
        <w:rPr>
          <w:sz w:val="24"/>
        </w:rPr>
        <w:t>Appendix C: Responses on PLA and Online Coursework from</w:t>
      </w:r>
      <w:r>
        <w:rPr>
          <w:sz w:val="24"/>
        </w:rPr>
        <w:t xml:space="preserve"> </w:t>
      </w:r>
      <w:r w:rsidRPr="00B23798">
        <w:rPr>
          <w:sz w:val="24"/>
        </w:rPr>
        <w:t>Accrediting Organizations Recognized by Council for Higher Education Accreditation (</w:t>
      </w:r>
      <w:hyperlink r:id="rId15" w:history="1">
        <w:r w:rsidRPr="00B23798">
          <w:rPr>
            <w:rStyle w:val="Hyperlink"/>
            <w:sz w:val="24"/>
          </w:rPr>
          <w:t>www.chea.org</w:t>
        </w:r>
      </w:hyperlink>
      <w:r w:rsidRPr="00B23798">
        <w:rPr>
          <w:sz w:val="24"/>
        </w:rPr>
        <w:t>) and University of Colorado Denver’s Schools of Health</w:t>
      </w:r>
    </w:p>
    <w:p w:rsidR="00CB198A" w:rsidRDefault="00CB198A" w:rsidP="00CB198A">
      <w:pPr>
        <w:pStyle w:val="Default"/>
        <w:rPr>
          <w:bCs/>
          <w:color w:val="auto"/>
        </w:rPr>
      </w:pPr>
      <w:r w:rsidRPr="00CB198A">
        <w:rPr>
          <w:color w:val="auto"/>
        </w:rPr>
        <w:t xml:space="preserve">Appendix D: </w:t>
      </w:r>
      <w:r w:rsidRPr="00CB198A">
        <w:rPr>
          <w:bCs/>
          <w:color w:val="auto"/>
        </w:rPr>
        <w:t>Florida</w:t>
      </w:r>
      <w:r>
        <w:rPr>
          <w:bCs/>
          <w:color w:val="auto"/>
        </w:rPr>
        <w:t xml:space="preserve"> Articulation Coordinating Committee Credit-by-Exam Equivalencies</w:t>
      </w:r>
    </w:p>
    <w:p w:rsidR="00FF4553" w:rsidRDefault="00FF4553" w:rsidP="00A06880">
      <w:pPr>
        <w:rPr>
          <w:b/>
        </w:rPr>
      </w:pPr>
      <w:r>
        <w:rPr>
          <w:color w:val="000000"/>
          <w:sz w:val="24"/>
        </w:rPr>
        <w:t xml:space="preserve">Appendix </w:t>
      </w:r>
      <w:r w:rsidR="00977151">
        <w:rPr>
          <w:color w:val="000000"/>
          <w:sz w:val="24"/>
        </w:rPr>
        <w:t>E</w:t>
      </w:r>
      <w:r>
        <w:rPr>
          <w:color w:val="000000"/>
          <w:sz w:val="24"/>
        </w:rPr>
        <w:t xml:space="preserve">: </w:t>
      </w:r>
      <w:r w:rsidR="00A06880">
        <w:rPr>
          <w:color w:val="000000"/>
          <w:sz w:val="24"/>
        </w:rPr>
        <w:t>Sample Format for Standardized Exam Cut Scores</w:t>
      </w:r>
    </w:p>
    <w:p w:rsidR="00FF4553" w:rsidRDefault="00FF4553" w:rsidP="00F75A0E">
      <w:pPr>
        <w:pStyle w:val="NoSpacing"/>
        <w:rPr>
          <w:color w:val="000000"/>
          <w:sz w:val="24"/>
        </w:rPr>
      </w:pPr>
    </w:p>
    <w:p w:rsidR="00F75A0E" w:rsidRDefault="00F75A0E" w:rsidP="00C67A45">
      <w:pPr>
        <w:pStyle w:val="NoSpacing"/>
        <w:rPr>
          <w:color w:val="000000"/>
          <w:sz w:val="24"/>
        </w:rPr>
      </w:pPr>
    </w:p>
    <w:p w:rsidR="002205F6" w:rsidRDefault="002205F6" w:rsidP="00C67A45">
      <w:pPr>
        <w:pStyle w:val="NoSpacing"/>
        <w:rPr>
          <w:color w:val="000000"/>
          <w:sz w:val="24"/>
        </w:rPr>
      </w:pPr>
    </w:p>
    <w:p w:rsidR="002205F6" w:rsidRDefault="002205F6" w:rsidP="00C67A45">
      <w:pPr>
        <w:pStyle w:val="NoSpacing"/>
        <w:rPr>
          <w:color w:val="000000"/>
          <w:sz w:val="24"/>
        </w:rPr>
      </w:pPr>
    </w:p>
    <w:p w:rsidR="00CF4BEA" w:rsidRDefault="00CF4BEA" w:rsidP="00D8554E">
      <w:pPr>
        <w:pStyle w:val="NoSpacing"/>
        <w:rPr>
          <w:sz w:val="24"/>
        </w:rPr>
      </w:pPr>
    </w:p>
    <w:p w:rsidR="00CF4BEA" w:rsidRPr="00CF4BEA" w:rsidRDefault="00CF4BEA" w:rsidP="00D8554E">
      <w:pPr>
        <w:pStyle w:val="NoSpacing"/>
        <w:rPr>
          <w:b/>
          <w:sz w:val="24"/>
        </w:rPr>
      </w:pPr>
      <w:r w:rsidRPr="00CF4BEA">
        <w:rPr>
          <w:b/>
          <w:sz w:val="24"/>
        </w:rPr>
        <w:t>REFERENCES:</w:t>
      </w:r>
    </w:p>
    <w:p w:rsidR="00CF4BEA" w:rsidRPr="00572BFB" w:rsidRDefault="00CF4BEA" w:rsidP="00D8554E">
      <w:pPr>
        <w:pStyle w:val="NoSpacing"/>
        <w:rPr>
          <w:sz w:val="24"/>
        </w:rPr>
      </w:pPr>
    </w:p>
    <w:p w:rsidR="00572BFB" w:rsidRPr="00572BFB" w:rsidRDefault="00572BFB" w:rsidP="00A01B4D">
      <w:pPr>
        <w:autoSpaceDE w:val="0"/>
        <w:autoSpaceDN w:val="0"/>
        <w:adjustRightInd w:val="0"/>
        <w:rPr>
          <w:color w:val="000000"/>
          <w:sz w:val="24"/>
        </w:rPr>
      </w:pPr>
      <w:proofErr w:type="gramStart"/>
      <w:r w:rsidRPr="00572BFB">
        <w:rPr>
          <w:sz w:val="24"/>
        </w:rPr>
        <w:t>American Association of Collegiate Registrars and Admissions Officers (AACRAO).</w:t>
      </w:r>
      <w:proofErr w:type="gramEnd"/>
      <w:r w:rsidRPr="00572BFB">
        <w:rPr>
          <w:sz w:val="24"/>
        </w:rPr>
        <w:t xml:space="preserve"> </w:t>
      </w:r>
      <w:proofErr w:type="gramStart"/>
      <w:r w:rsidRPr="00572BFB">
        <w:rPr>
          <w:sz w:val="24"/>
        </w:rPr>
        <w:t>(2015, January).</w:t>
      </w:r>
      <w:proofErr w:type="gramEnd"/>
      <w:r w:rsidRPr="00572BFB">
        <w:rPr>
          <w:sz w:val="24"/>
        </w:rPr>
        <w:t xml:space="preserve"> Credit for prior learning practices: Results of the AACRAO December 2014 60 </w:t>
      </w:r>
      <w:proofErr w:type="gramStart"/>
      <w:r w:rsidRPr="00572BFB">
        <w:rPr>
          <w:sz w:val="24"/>
        </w:rPr>
        <w:t>Second</w:t>
      </w:r>
      <w:proofErr w:type="gramEnd"/>
      <w:r w:rsidRPr="00572BFB">
        <w:rPr>
          <w:sz w:val="24"/>
        </w:rPr>
        <w:t xml:space="preserve"> </w:t>
      </w:r>
      <w:r w:rsidRPr="00572BFB">
        <w:rPr>
          <w:sz w:val="24"/>
        </w:rPr>
        <w:lastRenderedPageBreak/>
        <w:t>Survey.  Available online at:</w:t>
      </w:r>
      <w:r w:rsidRPr="00572BFB">
        <w:rPr>
          <w:color w:val="575757"/>
          <w:sz w:val="24"/>
        </w:rPr>
        <w:t xml:space="preserve"> </w:t>
      </w:r>
      <w:hyperlink r:id="rId16" w:history="1">
        <w:r w:rsidRPr="00572BFB">
          <w:rPr>
            <w:rStyle w:val="Hyperlink"/>
            <w:color w:val="0000CC"/>
            <w:sz w:val="24"/>
          </w:rPr>
          <w:t>http://www.aacrao.org/docs/default-source/PDF-Files/aacrao_dec_2014_60_second_survey_credit_for_prior_learning_practices.pdf?sfvrsn=4</w:t>
        </w:r>
      </w:hyperlink>
    </w:p>
    <w:p w:rsidR="00572BFB" w:rsidRDefault="00572BFB" w:rsidP="00A01B4D">
      <w:pPr>
        <w:autoSpaceDE w:val="0"/>
        <w:autoSpaceDN w:val="0"/>
        <w:adjustRightInd w:val="0"/>
        <w:rPr>
          <w:rFonts w:ascii="Arial" w:hAnsi="Arial" w:cs="Arial"/>
          <w:color w:val="575757"/>
          <w:sz w:val="21"/>
          <w:szCs w:val="21"/>
        </w:rPr>
      </w:pPr>
    </w:p>
    <w:p w:rsidR="00A84116" w:rsidRDefault="00A84116" w:rsidP="00A01B4D">
      <w:pPr>
        <w:autoSpaceDE w:val="0"/>
        <w:autoSpaceDN w:val="0"/>
        <w:adjustRightInd w:val="0"/>
        <w:rPr>
          <w:sz w:val="24"/>
        </w:rPr>
      </w:pPr>
      <w:r>
        <w:rPr>
          <w:sz w:val="24"/>
        </w:rPr>
        <w:t xml:space="preserve">Barry, C. L. (2013). </w:t>
      </w:r>
      <w:proofErr w:type="gramStart"/>
      <w:r>
        <w:rPr>
          <w:i/>
          <w:sz w:val="24"/>
        </w:rPr>
        <w:t>A Comparison of CLEP and Non-CLEP Students with Respect to Postsecondary Outcomes.</w:t>
      </w:r>
      <w:proofErr w:type="gramEnd"/>
      <w:r>
        <w:rPr>
          <w:i/>
          <w:sz w:val="24"/>
        </w:rPr>
        <w:t xml:space="preserve"> </w:t>
      </w:r>
      <w:proofErr w:type="gramStart"/>
      <w:r>
        <w:rPr>
          <w:sz w:val="24"/>
        </w:rPr>
        <w:t>College Board Research Note 2013-9.</w:t>
      </w:r>
      <w:proofErr w:type="gramEnd"/>
      <w:r>
        <w:rPr>
          <w:sz w:val="24"/>
        </w:rPr>
        <w:t xml:space="preserve"> Available online at: </w:t>
      </w:r>
      <w:hyperlink r:id="rId17" w:history="1">
        <w:r w:rsidRPr="007038AE">
          <w:rPr>
            <w:rStyle w:val="Hyperlink"/>
            <w:sz w:val="24"/>
          </w:rPr>
          <w:t>http://research.collegeboard.org/publications/comparison-clep-and-non-clep-students-respect-postsecondary-outcomes</w:t>
        </w:r>
      </w:hyperlink>
      <w:r>
        <w:rPr>
          <w:sz w:val="24"/>
        </w:rPr>
        <w:t xml:space="preserve"> </w:t>
      </w:r>
    </w:p>
    <w:p w:rsidR="00520020" w:rsidRDefault="00520020" w:rsidP="00A01B4D">
      <w:pPr>
        <w:autoSpaceDE w:val="0"/>
        <w:autoSpaceDN w:val="0"/>
        <w:adjustRightInd w:val="0"/>
        <w:rPr>
          <w:sz w:val="24"/>
        </w:rPr>
      </w:pPr>
    </w:p>
    <w:p w:rsidR="00A01B4D" w:rsidRPr="00352A47" w:rsidRDefault="00A01B4D" w:rsidP="00A01B4D">
      <w:pPr>
        <w:autoSpaceDE w:val="0"/>
        <w:autoSpaceDN w:val="0"/>
        <w:adjustRightInd w:val="0"/>
        <w:rPr>
          <w:sz w:val="24"/>
        </w:rPr>
      </w:pPr>
      <w:proofErr w:type="gramStart"/>
      <w:r w:rsidRPr="00352A47">
        <w:rPr>
          <w:sz w:val="24"/>
        </w:rPr>
        <w:t>Colorado Commission on Higher Education.</w:t>
      </w:r>
      <w:proofErr w:type="gramEnd"/>
      <w:r w:rsidRPr="00352A47">
        <w:rPr>
          <w:sz w:val="24"/>
        </w:rPr>
        <w:t xml:space="preserve"> (2012). </w:t>
      </w:r>
      <w:r w:rsidRPr="00352A47">
        <w:rPr>
          <w:i/>
          <w:sz w:val="24"/>
        </w:rPr>
        <w:t>Colorado Competes: A Completion Agenda for Higher Education</w:t>
      </w:r>
      <w:r w:rsidRPr="00352A47">
        <w:rPr>
          <w:sz w:val="24"/>
        </w:rPr>
        <w:t xml:space="preserve">. Available online at: </w:t>
      </w:r>
      <w:hyperlink r:id="rId18" w:history="1">
        <w:r w:rsidR="00352A47" w:rsidRPr="008E4815">
          <w:rPr>
            <w:rStyle w:val="Hyperlink"/>
            <w:sz w:val="24"/>
          </w:rPr>
          <w:t>http://highered.colorado.gov/Publications/General/StrategicPlanning/MasterPlan2012/Master_Plan_Final.pdf</w:t>
        </w:r>
      </w:hyperlink>
      <w:r w:rsidR="00352A47">
        <w:rPr>
          <w:sz w:val="24"/>
        </w:rPr>
        <w:t xml:space="preserve"> </w:t>
      </w:r>
    </w:p>
    <w:p w:rsidR="00A01B4D" w:rsidRDefault="00A01B4D" w:rsidP="00A01B4D">
      <w:pPr>
        <w:autoSpaceDE w:val="0"/>
        <w:autoSpaceDN w:val="0"/>
        <w:adjustRightInd w:val="0"/>
        <w:rPr>
          <w:b/>
          <w:sz w:val="24"/>
        </w:rPr>
      </w:pPr>
    </w:p>
    <w:p w:rsidR="00155860" w:rsidRPr="00155860" w:rsidRDefault="00155860" w:rsidP="00155860">
      <w:pPr>
        <w:shd w:val="clear" w:color="auto" w:fill="FFFFFF"/>
        <w:rPr>
          <w:color w:val="000000"/>
          <w:sz w:val="24"/>
        </w:rPr>
      </w:pPr>
      <w:proofErr w:type="gramStart"/>
      <w:r w:rsidRPr="00155860">
        <w:rPr>
          <w:sz w:val="24"/>
        </w:rPr>
        <w:t>College Board.</w:t>
      </w:r>
      <w:proofErr w:type="gramEnd"/>
      <w:r w:rsidRPr="00155860">
        <w:rPr>
          <w:sz w:val="24"/>
        </w:rPr>
        <w:t xml:space="preserve"> </w:t>
      </w:r>
      <w:proofErr w:type="gramStart"/>
      <w:r w:rsidRPr="00155860">
        <w:rPr>
          <w:sz w:val="24"/>
        </w:rPr>
        <w:t>(2005). CLEP Candidate Survey.</w:t>
      </w:r>
      <w:proofErr w:type="gramEnd"/>
      <w:r w:rsidRPr="00155860">
        <w:rPr>
          <w:sz w:val="24"/>
        </w:rPr>
        <w:t xml:space="preserve"> Available online at: </w:t>
      </w:r>
      <w:hyperlink r:id="rId19" w:history="1">
        <w:r w:rsidRPr="00155860">
          <w:rPr>
            <w:rStyle w:val="Hyperlink"/>
            <w:color w:val="0066CC"/>
            <w:sz w:val="24"/>
          </w:rPr>
          <w:t>http://media.collegeboard.com/digitalServices/pdf/clep/CLEP_Candidate_Survey_2004-05.pdf</w:t>
        </w:r>
      </w:hyperlink>
    </w:p>
    <w:p w:rsidR="00155860" w:rsidRDefault="00155860" w:rsidP="00A01B4D">
      <w:pPr>
        <w:autoSpaceDE w:val="0"/>
        <w:autoSpaceDN w:val="0"/>
        <w:adjustRightInd w:val="0"/>
        <w:rPr>
          <w:b/>
          <w:sz w:val="24"/>
        </w:rPr>
      </w:pPr>
    </w:p>
    <w:p w:rsidR="00217DD1" w:rsidRPr="00217DD1" w:rsidRDefault="00217DD1" w:rsidP="00A01B4D">
      <w:pPr>
        <w:autoSpaceDE w:val="0"/>
        <w:autoSpaceDN w:val="0"/>
        <w:adjustRightInd w:val="0"/>
        <w:rPr>
          <w:rStyle w:val="Hyperlink"/>
          <w:sz w:val="24"/>
        </w:rPr>
      </w:pPr>
      <w:r w:rsidRPr="00217DD1">
        <w:rPr>
          <w:sz w:val="24"/>
        </w:rPr>
        <w:t xml:space="preserve">College Board (2015) Website: CLEP Research and Statistics.  Available online at: </w:t>
      </w:r>
      <w:hyperlink r:id="rId20" w:history="1">
        <w:r w:rsidRPr="00217DD1">
          <w:rPr>
            <w:rStyle w:val="Hyperlink"/>
            <w:sz w:val="24"/>
          </w:rPr>
          <w:t>http://clep.collegeboard.org/research/statistics</w:t>
        </w:r>
      </w:hyperlink>
    </w:p>
    <w:p w:rsidR="00217DD1" w:rsidRPr="00A01B4D" w:rsidRDefault="00217DD1" w:rsidP="00A01B4D">
      <w:pPr>
        <w:autoSpaceDE w:val="0"/>
        <w:autoSpaceDN w:val="0"/>
        <w:adjustRightInd w:val="0"/>
        <w:rPr>
          <w:b/>
          <w:sz w:val="24"/>
        </w:rPr>
      </w:pPr>
    </w:p>
    <w:p w:rsidR="00642858" w:rsidRPr="00642858" w:rsidRDefault="00642858" w:rsidP="00642858">
      <w:pPr>
        <w:pStyle w:val="NoSpacing"/>
        <w:rPr>
          <w:bCs/>
          <w:sz w:val="24"/>
        </w:rPr>
      </w:pPr>
      <w:proofErr w:type="gramStart"/>
      <w:r w:rsidRPr="00642858">
        <w:rPr>
          <w:sz w:val="24"/>
        </w:rPr>
        <w:t>Council for Adult &amp; Experiential Learning (CAEL).</w:t>
      </w:r>
      <w:proofErr w:type="gramEnd"/>
      <w:r w:rsidRPr="00642858">
        <w:rPr>
          <w:sz w:val="24"/>
        </w:rPr>
        <w:t xml:space="preserve"> </w:t>
      </w:r>
      <w:proofErr w:type="gramStart"/>
      <w:r w:rsidRPr="00642858">
        <w:rPr>
          <w:sz w:val="24"/>
        </w:rPr>
        <w:t>(2014, October).</w:t>
      </w:r>
      <w:proofErr w:type="gramEnd"/>
      <w:r w:rsidRPr="00642858">
        <w:rPr>
          <w:sz w:val="24"/>
        </w:rPr>
        <w:t xml:space="preserve"> </w:t>
      </w:r>
      <w:r w:rsidRPr="00642858">
        <w:rPr>
          <w:bCs/>
          <w:i/>
          <w:sz w:val="24"/>
        </w:rPr>
        <w:t xml:space="preserve">Holding </w:t>
      </w:r>
      <w:proofErr w:type="gramStart"/>
      <w:r w:rsidRPr="00642858">
        <w:rPr>
          <w:bCs/>
          <w:i/>
          <w:sz w:val="24"/>
        </w:rPr>
        <w:t>Tight</w:t>
      </w:r>
      <w:proofErr w:type="gramEnd"/>
      <w:r w:rsidRPr="00642858">
        <w:rPr>
          <w:bCs/>
          <w:i/>
          <w:sz w:val="24"/>
        </w:rPr>
        <w:t xml:space="preserve"> or at Arm’s Length: How Higher Education Regional Accrediting Bodies Address PLA: A research brief by the Council for Adult and Experiential Learning.</w:t>
      </w:r>
      <w:r w:rsidRPr="00642858">
        <w:rPr>
          <w:bCs/>
          <w:sz w:val="24"/>
        </w:rPr>
        <w:t xml:space="preserve"> Available online at: </w:t>
      </w:r>
      <w:hyperlink r:id="rId21" w:history="1">
        <w:r w:rsidRPr="00642858">
          <w:rPr>
            <w:rStyle w:val="Hyperlink"/>
            <w:color w:val="0000CC"/>
            <w:sz w:val="24"/>
          </w:rPr>
          <w:t>http://www.cael.org/pdfs/cael_pla_accreditation</w:t>
        </w:r>
      </w:hyperlink>
    </w:p>
    <w:p w:rsidR="00642858" w:rsidRPr="00642858" w:rsidRDefault="00642858" w:rsidP="00642858">
      <w:pPr>
        <w:pStyle w:val="NoSpacing"/>
      </w:pPr>
    </w:p>
    <w:p w:rsidR="00CF4BEA" w:rsidRDefault="00CF4BEA" w:rsidP="00CF4BEA">
      <w:pPr>
        <w:spacing w:after="345"/>
        <w:rPr>
          <w:bCs/>
          <w:iCs/>
          <w:sz w:val="24"/>
        </w:rPr>
      </w:pPr>
      <w:proofErr w:type="gramStart"/>
      <w:r>
        <w:rPr>
          <w:sz w:val="24"/>
        </w:rPr>
        <w:t>Council for Adult &amp; Experiential Learning (CAEL).</w:t>
      </w:r>
      <w:proofErr w:type="gramEnd"/>
      <w:r>
        <w:rPr>
          <w:sz w:val="24"/>
        </w:rPr>
        <w:t xml:space="preserve"> (2010, March). </w:t>
      </w:r>
      <w:proofErr w:type="gramStart"/>
      <w:r w:rsidRPr="00CF4BEA">
        <w:rPr>
          <w:i/>
          <w:sz w:val="24"/>
        </w:rPr>
        <w:t>Fueling the Race to Postsecondary Success: A 48-Institution Study of Prior Learning Assessment and Adult Student Outcomes</w:t>
      </w:r>
      <w:r>
        <w:rPr>
          <w:sz w:val="24"/>
        </w:rPr>
        <w:t>.</w:t>
      </w:r>
      <w:proofErr w:type="gramEnd"/>
      <w:r>
        <w:rPr>
          <w:sz w:val="24"/>
        </w:rPr>
        <w:t xml:space="preserve"> Available online at: </w:t>
      </w:r>
      <w:hyperlink r:id="rId22" w:history="1">
        <w:r w:rsidRPr="00517A8A">
          <w:rPr>
            <w:rStyle w:val="Hyperlink"/>
            <w:iCs/>
            <w:sz w:val="24"/>
          </w:rPr>
          <w:t>www.</w:t>
        </w:r>
        <w:r w:rsidRPr="00517A8A">
          <w:rPr>
            <w:rStyle w:val="Hyperlink"/>
            <w:bCs/>
            <w:iCs/>
            <w:sz w:val="24"/>
          </w:rPr>
          <w:t>cael</w:t>
        </w:r>
        <w:r w:rsidRPr="00517A8A">
          <w:rPr>
            <w:rStyle w:val="Hyperlink"/>
            <w:iCs/>
            <w:sz w:val="24"/>
          </w:rPr>
          <w:t>.org/pdfs/pla_</w:t>
        </w:r>
        <w:r w:rsidRPr="00517A8A">
          <w:rPr>
            <w:rStyle w:val="Hyperlink"/>
            <w:bCs/>
            <w:iCs/>
            <w:sz w:val="24"/>
          </w:rPr>
          <w:t>fueling-the-race</w:t>
        </w:r>
      </w:hyperlink>
      <w:r>
        <w:rPr>
          <w:bCs/>
          <w:iCs/>
          <w:sz w:val="24"/>
        </w:rPr>
        <w:t xml:space="preserve"> </w:t>
      </w:r>
    </w:p>
    <w:p w:rsidR="00C60111" w:rsidRPr="00C60111" w:rsidRDefault="00C60111" w:rsidP="00C60111">
      <w:pPr>
        <w:autoSpaceDE w:val="0"/>
        <w:autoSpaceDN w:val="0"/>
        <w:adjustRightInd w:val="0"/>
        <w:rPr>
          <w:i/>
          <w:color w:val="000000"/>
          <w:sz w:val="24"/>
        </w:rPr>
      </w:pPr>
      <w:proofErr w:type="gramStart"/>
      <w:r w:rsidRPr="00C60111">
        <w:rPr>
          <w:color w:val="000000"/>
          <w:sz w:val="24"/>
        </w:rPr>
        <w:t>Hayward</w:t>
      </w:r>
      <w:r>
        <w:rPr>
          <w:color w:val="000000"/>
          <w:sz w:val="24"/>
        </w:rPr>
        <w:t>, M.S.</w:t>
      </w:r>
      <w:r w:rsidRPr="00C60111">
        <w:rPr>
          <w:color w:val="000000"/>
          <w:sz w:val="24"/>
        </w:rPr>
        <w:t xml:space="preserve"> &amp; Mitchell R. Williams</w:t>
      </w:r>
      <w:r>
        <w:rPr>
          <w:color w:val="000000"/>
          <w:sz w:val="24"/>
        </w:rPr>
        <w:t>.</w:t>
      </w:r>
      <w:proofErr w:type="gramEnd"/>
      <w:r w:rsidRPr="00C60111">
        <w:rPr>
          <w:color w:val="000000"/>
          <w:sz w:val="24"/>
        </w:rPr>
        <w:t xml:space="preserve"> (2015)</w:t>
      </w:r>
      <w:r>
        <w:rPr>
          <w:color w:val="000000"/>
          <w:sz w:val="24"/>
        </w:rPr>
        <w:t>.</w:t>
      </w:r>
      <w:r w:rsidRPr="00C60111">
        <w:rPr>
          <w:color w:val="000000"/>
          <w:sz w:val="24"/>
        </w:rPr>
        <w:t xml:space="preserve"> </w:t>
      </w:r>
      <w:r w:rsidRPr="00C60111">
        <w:rPr>
          <w:i/>
          <w:color w:val="000000"/>
          <w:sz w:val="24"/>
        </w:rPr>
        <w:t>Adult Learner Graduation Rates at</w:t>
      </w:r>
    </w:p>
    <w:p w:rsidR="00C60111" w:rsidRPr="00C60111" w:rsidRDefault="00C60111" w:rsidP="00C60111">
      <w:pPr>
        <w:autoSpaceDE w:val="0"/>
        <w:autoSpaceDN w:val="0"/>
        <w:adjustRightInd w:val="0"/>
        <w:rPr>
          <w:color w:val="0000FF"/>
          <w:sz w:val="24"/>
        </w:rPr>
      </w:pPr>
      <w:proofErr w:type="gramStart"/>
      <w:r w:rsidRPr="00C60111">
        <w:rPr>
          <w:i/>
          <w:color w:val="000000"/>
          <w:sz w:val="24"/>
        </w:rPr>
        <w:t>Four U.S. Community Colleges by Prior Learning Assessment Status and Method, Community College</w:t>
      </w:r>
      <w:r>
        <w:rPr>
          <w:color w:val="000000"/>
          <w:sz w:val="24"/>
        </w:rPr>
        <w:t>.</w:t>
      </w:r>
      <w:proofErr w:type="gramEnd"/>
      <w:r>
        <w:rPr>
          <w:color w:val="000000"/>
          <w:sz w:val="24"/>
        </w:rPr>
        <w:t xml:space="preserve"> </w:t>
      </w:r>
      <w:r w:rsidRPr="00C60111">
        <w:rPr>
          <w:color w:val="000000"/>
          <w:sz w:val="24"/>
        </w:rPr>
        <w:t xml:space="preserve">Journal of Research and Practice, 39:1, 44-54, DOI: </w:t>
      </w:r>
      <w:r w:rsidRPr="00C60111">
        <w:rPr>
          <w:color w:val="0000FF"/>
          <w:sz w:val="24"/>
        </w:rPr>
        <w:t>10.1080/10668926.2013.789992</w:t>
      </w:r>
    </w:p>
    <w:p w:rsidR="00C60111" w:rsidRPr="00C60111" w:rsidRDefault="00C60111" w:rsidP="00C60111">
      <w:pPr>
        <w:pStyle w:val="Default"/>
        <w:rPr>
          <w:color w:val="0000FF"/>
        </w:rPr>
      </w:pPr>
      <w:r w:rsidRPr="00C60111">
        <w:rPr>
          <w:bCs/>
        </w:rPr>
        <w:t xml:space="preserve">Available online at: </w:t>
      </w:r>
      <w:hyperlink r:id="rId23" w:history="1">
        <w:r w:rsidRPr="00C60111">
          <w:rPr>
            <w:rStyle w:val="Hyperlink"/>
          </w:rPr>
          <w:t>http://dx.doi.org/10.1080/10668926.2013.789992</w:t>
        </w:r>
      </w:hyperlink>
    </w:p>
    <w:p w:rsidR="00C60111" w:rsidRDefault="00C60111" w:rsidP="00C60111">
      <w:pPr>
        <w:pStyle w:val="Default"/>
        <w:rPr>
          <w:rFonts w:ascii="Trebuchet MS" w:hAnsi="Trebuchet MS" w:cs="Trebuchet MS"/>
          <w:color w:val="0000FF"/>
          <w:sz w:val="20"/>
          <w:szCs w:val="20"/>
        </w:rPr>
      </w:pPr>
    </w:p>
    <w:p w:rsidR="000D4B96" w:rsidRPr="00B41C94" w:rsidRDefault="000D4B96" w:rsidP="00C60111">
      <w:pPr>
        <w:pStyle w:val="Default"/>
        <w:rPr>
          <w:color w:val="666666"/>
        </w:rPr>
      </w:pPr>
      <w:proofErr w:type="gramStart"/>
      <w:r>
        <w:rPr>
          <w:rStyle w:val="A1"/>
          <w:rFonts w:cs="Times New Roman"/>
          <w:sz w:val="24"/>
          <w:szCs w:val="24"/>
        </w:rPr>
        <w:t>HCM Strategists</w:t>
      </w:r>
      <w:r w:rsidRPr="00B41C94">
        <w:rPr>
          <w:rStyle w:val="A1"/>
          <w:rFonts w:cs="Times New Roman"/>
          <w:sz w:val="24"/>
          <w:szCs w:val="24"/>
        </w:rPr>
        <w:t>.</w:t>
      </w:r>
      <w:proofErr w:type="gramEnd"/>
      <w:r w:rsidRPr="00B41C94">
        <w:rPr>
          <w:rStyle w:val="A1"/>
          <w:rFonts w:cs="Times New Roman"/>
          <w:sz w:val="24"/>
          <w:szCs w:val="24"/>
        </w:rPr>
        <w:t xml:space="preserve"> (2014). </w:t>
      </w:r>
      <w:r w:rsidRPr="00B41C94">
        <w:rPr>
          <w:bCs/>
          <w:i/>
        </w:rPr>
        <w:t>States with Higher Education Attainment Goals</w:t>
      </w:r>
      <w:r w:rsidRPr="00B41C94">
        <w:rPr>
          <w:bCs/>
        </w:rPr>
        <w:t xml:space="preserve">. Available online at: </w:t>
      </w:r>
    </w:p>
    <w:p w:rsidR="000D4B96" w:rsidRPr="000D4B96" w:rsidRDefault="00244DB6" w:rsidP="00CF4BEA">
      <w:pPr>
        <w:spacing w:after="345"/>
        <w:rPr>
          <w:bCs/>
          <w:iCs/>
          <w:sz w:val="24"/>
        </w:rPr>
      </w:pPr>
      <w:hyperlink r:id="rId24" w:history="1">
        <w:r w:rsidR="000D4B96" w:rsidRPr="000D4B96">
          <w:rPr>
            <w:rStyle w:val="Hyperlink"/>
            <w:color w:val="0000CC"/>
            <w:sz w:val="24"/>
          </w:rPr>
          <w:t>http://strategylabs.luminafoundation.org/wp-content/uploads/2013/10/State-Attainment-Goals.pdf</w:t>
        </w:r>
      </w:hyperlink>
      <w:r w:rsidR="000D4B96" w:rsidRPr="000D4B96">
        <w:rPr>
          <w:color w:val="000000"/>
          <w:sz w:val="24"/>
        </w:rPr>
        <w:t xml:space="preserve"> </w:t>
      </w:r>
    </w:p>
    <w:p w:rsidR="00BE227C" w:rsidRDefault="00BE227C" w:rsidP="00CF4BEA">
      <w:pPr>
        <w:spacing w:after="345"/>
        <w:rPr>
          <w:bCs/>
          <w:iCs/>
          <w:sz w:val="24"/>
        </w:rPr>
      </w:pPr>
      <w:r>
        <w:rPr>
          <w:bCs/>
          <w:iCs/>
          <w:sz w:val="24"/>
        </w:rPr>
        <w:t xml:space="preserve">Klein-Collins, R. (2014). Assessment’s New Role in Degree Completion: A Registrar’s Primer on Prior Learning Assessment and Competency-Based Education. Available online at: </w:t>
      </w:r>
      <w:hyperlink r:id="rId25" w:history="1">
        <w:r w:rsidRPr="00AD0003">
          <w:rPr>
            <w:rStyle w:val="Hyperlink"/>
            <w:bCs/>
            <w:iCs/>
            <w:sz w:val="24"/>
          </w:rPr>
          <w:t>http://www4.aacrao.org/publications/catalog.php?item=0140</w:t>
        </w:r>
      </w:hyperlink>
      <w:r>
        <w:rPr>
          <w:bCs/>
          <w:iCs/>
          <w:sz w:val="24"/>
        </w:rPr>
        <w:t xml:space="preserve"> </w:t>
      </w:r>
    </w:p>
    <w:p w:rsidR="00520020" w:rsidRDefault="00520020" w:rsidP="00520020">
      <w:pPr>
        <w:autoSpaceDE w:val="0"/>
        <w:autoSpaceDN w:val="0"/>
        <w:adjustRightInd w:val="0"/>
        <w:rPr>
          <w:sz w:val="24"/>
        </w:rPr>
      </w:pPr>
      <w:proofErr w:type="gramStart"/>
      <w:r>
        <w:rPr>
          <w:sz w:val="24"/>
        </w:rPr>
        <w:t>Klein-Collins, R. and R. Olson</w:t>
      </w:r>
      <w:r w:rsidRPr="00520020">
        <w:rPr>
          <w:sz w:val="24"/>
        </w:rPr>
        <w:t>.</w:t>
      </w:r>
      <w:proofErr w:type="gramEnd"/>
      <w:r w:rsidRPr="00520020">
        <w:rPr>
          <w:sz w:val="24"/>
        </w:rPr>
        <w:t xml:space="preserve"> (2014). Executive Summary of Random Access: The Latino Student Experience with Prior Learning Assessment. Available online at: </w:t>
      </w:r>
      <w:hyperlink r:id="rId26" w:history="1">
        <w:r w:rsidRPr="00520020">
          <w:rPr>
            <w:rStyle w:val="Hyperlink"/>
            <w:sz w:val="24"/>
          </w:rPr>
          <w:t>http://www.cael.org/pdfs/latinos_and_pla_2014_summary</w:t>
        </w:r>
      </w:hyperlink>
    </w:p>
    <w:p w:rsidR="00520020" w:rsidRDefault="00520020" w:rsidP="00520020">
      <w:pPr>
        <w:autoSpaceDE w:val="0"/>
        <w:autoSpaceDN w:val="0"/>
        <w:adjustRightInd w:val="0"/>
        <w:rPr>
          <w:sz w:val="24"/>
        </w:rPr>
      </w:pPr>
    </w:p>
    <w:p w:rsidR="001B4978" w:rsidRPr="001B4978" w:rsidRDefault="001B4978" w:rsidP="00520020">
      <w:pPr>
        <w:autoSpaceDE w:val="0"/>
        <w:autoSpaceDN w:val="0"/>
        <w:adjustRightInd w:val="0"/>
        <w:rPr>
          <w:bCs/>
          <w:iCs/>
          <w:sz w:val="24"/>
        </w:rPr>
      </w:pPr>
      <w:proofErr w:type="gramStart"/>
      <w:r>
        <w:rPr>
          <w:bCs/>
          <w:iCs/>
          <w:sz w:val="24"/>
        </w:rPr>
        <w:lastRenderedPageBreak/>
        <w:t xml:space="preserve">Lakin, M.B., Seymour, D., </w:t>
      </w:r>
      <w:proofErr w:type="spellStart"/>
      <w:r>
        <w:rPr>
          <w:bCs/>
          <w:iCs/>
          <w:sz w:val="24"/>
        </w:rPr>
        <w:t>Nellum</w:t>
      </w:r>
      <w:proofErr w:type="spellEnd"/>
      <w:r>
        <w:rPr>
          <w:bCs/>
          <w:iCs/>
          <w:sz w:val="24"/>
        </w:rPr>
        <w:t>, C. J. and Crandall, J.R. (2015).</w:t>
      </w:r>
      <w:proofErr w:type="gramEnd"/>
      <w:r>
        <w:rPr>
          <w:bCs/>
          <w:iCs/>
          <w:sz w:val="24"/>
        </w:rPr>
        <w:t xml:space="preserve"> </w:t>
      </w:r>
      <w:r>
        <w:rPr>
          <w:bCs/>
          <w:i/>
          <w:iCs/>
          <w:sz w:val="24"/>
        </w:rPr>
        <w:t>Credit for Prior Learning: Charting Institutional Practice for Sustainability.</w:t>
      </w:r>
      <w:r>
        <w:rPr>
          <w:bCs/>
          <w:iCs/>
          <w:sz w:val="24"/>
        </w:rPr>
        <w:t xml:space="preserve"> </w:t>
      </w:r>
      <w:proofErr w:type="gramStart"/>
      <w:r>
        <w:rPr>
          <w:bCs/>
          <w:iCs/>
          <w:sz w:val="24"/>
        </w:rPr>
        <w:t>Available from American Council on Education.</w:t>
      </w:r>
      <w:proofErr w:type="gramEnd"/>
    </w:p>
    <w:p w:rsidR="001B4978" w:rsidRDefault="001B4978" w:rsidP="00520020">
      <w:pPr>
        <w:autoSpaceDE w:val="0"/>
        <w:autoSpaceDN w:val="0"/>
        <w:adjustRightInd w:val="0"/>
        <w:rPr>
          <w:bCs/>
          <w:iCs/>
          <w:sz w:val="24"/>
        </w:rPr>
      </w:pPr>
    </w:p>
    <w:p w:rsidR="00B41C94" w:rsidRDefault="00B41C94" w:rsidP="00520020">
      <w:pPr>
        <w:autoSpaceDE w:val="0"/>
        <w:autoSpaceDN w:val="0"/>
        <w:adjustRightInd w:val="0"/>
        <w:rPr>
          <w:bCs/>
          <w:iCs/>
          <w:sz w:val="24"/>
        </w:rPr>
      </w:pPr>
      <w:proofErr w:type="gramStart"/>
      <w:r>
        <w:rPr>
          <w:bCs/>
          <w:iCs/>
          <w:sz w:val="24"/>
        </w:rPr>
        <w:t>Lumina Foundation.</w:t>
      </w:r>
      <w:proofErr w:type="gramEnd"/>
      <w:r>
        <w:rPr>
          <w:bCs/>
          <w:iCs/>
          <w:sz w:val="24"/>
        </w:rPr>
        <w:t xml:space="preserve"> (2014). </w:t>
      </w:r>
      <w:proofErr w:type="gramStart"/>
      <w:r>
        <w:rPr>
          <w:bCs/>
          <w:i/>
          <w:iCs/>
          <w:sz w:val="24"/>
        </w:rPr>
        <w:t>A</w:t>
      </w:r>
      <w:proofErr w:type="gramEnd"/>
      <w:r>
        <w:rPr>
          <w:bCs/>
          <w:i/>
          <w:iCs/>
          <w:sz w:val="24"/>
        </w:rPr>
        <w:t xml:space="preserve"> Stronger Nation through Higher Education: Closing the Gaps in College Attainment. </w:t>
      </w:r>
      <w:r>
        <w:rPr>
          <w:bCs/>
          <w:iCs/>
          <w:sz w:val="24"/>
        </w:rPr>
        <w:t xml:space="preserve">Available online at: </w:t>
      </w:r>
      <w:hyperlink r:id="rId27" w:history="1">
        <w:r w:rsidRPr="005959B7">
          <w:rPr>
            <w:rStyle w:val="Hyperlink"/>
            <w:bCs/>
            <w:iCs/>
            <w:sz w:val="24"/>
          </w:rPr>
          <w:t>http://www.luminafoundation.org/files/resources/a-stronger-nation-through-higher-education-2014.pdf</w:t>
        </w:r>
      </w:hyperlink>
      <w:r>
        <w:rPr>
          <w:bCs/>
          <w:iCs/>
          <w:sz w:val="24"/>
        </w:rPr>
        <w:t xml:space="preserve"> </w:t>
      </w:r>
    </w:p>
    <w:p w:rsidR="00520020" w:rsidRPr="00520020" w:rsidRDefault="00520020" w:rsidP="00520020">
      <w:pPr>
        <w:autoSpaceDE w:val="0"/>
        <w:autoSpaceDN w:val="0"/>
        <w:adjustRightInd w:val="0"/>
        <w:rPr>
          <w:sz w:val="24"/>
        </w:rPr>
      </w:pPr>
    </w:p>
    <w:p w:rsidR="006245CA" w:rsidRDefault="006245CA" w:rsidP="00CF4BEA">
      <w:pPr>
        <w:spacing w:after="345"/>
        <w:rPr>
          <w:bCs/>
          <w:iCs/>
          <w:sz w:val="24"/>
        </w:rPr>
      </w:pPr>
      <w:proofErr w:type="gramStart"/>
      <w:r>
        <w:rPr>
          <w:bCs/>
          <w:iCs/>
          <w:sz w:val="24"/>
        </w:rPr>
        <w:t xml:space="preserve">Patterson, B. F., S. Packman and J. L. </w:t>
      </w:r>
      <w:proofErr w:type="spellStart"/>
      <w:r>
        <w:rPr>
          <w:bCs/>
          <w:iCs/>
          <w:sz w:val="24"/>
        </w:rPr>
        <w:t>Kobrin</w:t>
      </w:r>
      <w:proofErr w:type="spellEnd"/>
      <w:r>
        <w:rPr>
          <w:bCs/>
          <w:iCs/>
          <w:sz w:val="24"/>
        </w:rPr>
        <w:t>.</w:t>
      </w:r>
      <w:proofErr w:type="gramEnd"/>
      <w:r>
        <w:rPr>
          <w:bCs/>
          <w:iCs/>
          <w:sz w:val="24"/>
        </w:rPr>
        <w:t xml:space="preserve"> (2011). Advanced Placement Exam-Taking and Performance: Relationships with First-Year Subject Area College Grades. Available online at: </w:t>
      </w:r>
      <w:hyperlink r:id="rId28" w:history="1">
        <w:r w:rsidRPr="007E4CD7">
          <w:rPr>
            <w:rStyle w:val="Hyperlink"/>
            <w:bCs/>
            <w:iCs/>
            <w:sz w:val="24"/>
          </w:rPr>
          <w:t>http://research.collegeboard.org/sites/default/files/publications/2012/8/researchreport-2011-4-ap-performance-1st-year-subject-grades.pdf</w:t>
        </w:r>
      </w:hyperlink>
      <w:r>
        <w:rPr>
          <w:bCs/>
          <w:iCs/>
          <w:sz w:val="24"/>
        </w:rPr>
        <w:t xml:space="preserve"> </w:t>
      </w:r>
    </w:p>
    <w:p w:rsidR="00E71F4F" w:rsidRPr="00E71F4F" w:rsidRDefault="00E71F4F" w:rsidP="00CF4BEA">
      <w:pPr>
        <w:spacing w:after="345"/>
        <w:rPr>
          <w:bCs/>
          <w:iCs/>
          <w:sz w:val="24"/>
        </w:rPr>
      </w:pPr>
      <w:r w:rsidRPr="00E71F4F">
        <w:rPr>
          <w:i/>
          <w:spacing w:val="-5"/>
          <w:sz w:val="24"/>
        </w:rPr>
        <w:t>PLA Inside Out: An International Journal on Theory, Research and Practice in Prior Learning Assessment</w:t>
      </w:r>
      <w:r w:rsidRPr="00E71F4F">
        <w:rPr>
          <w:spacing w:val="-5"/>
          <w:sz w:val="24"/>
        </w:rPr>
        <w:t xml:space="preserve">. Available online at: </w:t>
      </w:r>
      <w:hyperlink r:id="rId29" w:history="1">
        <w:r w:rsidRPr="00CA4BA1">
          <w:rPr>
            <w:rStyle w:val="Hyperlink"/>
            <w:spacing w:val="-5"/>
            <w:sz w:val="24"/>
          </w:rPr>
          <w:t>http://www.plaio.org/index.php/home</w:t>
        </w:r>
      </w:hyperlink>
      <w:r>
        <w:rPr>
          <w:spacing w:val="-5"/>
          <w:sz w:val="24"/>
        </w:rPr>
        <w:t xml:space="preserve"> </w:t>
      </w:r>
    </w:p>
    <w:p w:rsidR="00B41C94" w:rsidRDefault="00B41C94" w:rsidP="004472A2">
      <w:pPr>
        <w:autoSpaceDE w:val="0"/>
        <w:autoSpaceDN w:val="0"/>
        <w:adjustRightInd w:val="0"/>
        <w:rPr>
          <w:sz w:val="24"/>
        </w:rPr>
      </w:pPr>
      <w:proofErr w:type="gramStart"/>
      <w:r w:rsidRPr="004472A2">
        <w:rPr>
          <w:bCs/>
          <w:iCs/>
          <w:sz w:val="24"/>
        </w:rPr>
        <w:t>Regier, K.F. (2014).</w:t>
      </w:r>
      <w:proofErr w:type="gramEnd"/>
      <w:r>
        <w:rPr>
          <w:bCs/>
          <w:iCs/>
          <w:sz w:val="24"/>
        </w:rPr>
        <w:t xml:space="preserve"> </w:t>
      </w:r>
      <w:proofErr w:type="gramStart"/>
      <w:r w:rsidR="004472A2">
        <w:rPr>
          <w:bCs/>
          <w:iCs/>
          <w:sz w:val="24"/>
        </w:rPr>
        <w:t>Equivalency of General Biology (for majors) across a State System.</w:t>
      </w:r>
      <w:proofErr w:type="gramEnd"/>
      <w:r w:rsidR="004472A2">
        <w:rPr>
          <w:bCs/>
          <w:iCs/>
          <w:sz w:val="24"/>
        </w:rPr>
        <w:t xml:space="preserve"> </w:t>
      </w:r>
      <w:r w:rsidR="004472A2">
        <w:rPr>
          <w:sz w:val="24"/>
        </w:rPr>
        <w:t>A thesis for the Doctor of Education degree submitted to the Faculty of the Graduate School of the University of Colorado Denver.</w:t>
      </w:r>
    </w:p>
    <w:p w:rsidR="004472A2" w:rsidRDefault="004472A2" w:rsidP="004472A2">
      <w:pPr>
        <w:autoSpaceDE w:val="0"/>
        <w:autoSpaceDN w:val="0"/>
        <w:adjustRightInd w:val="0"/>
        <w:rPr>
          <w:bCs/>
          <w:iCs/>
          <w:sz w:val="24"/>
        </w:rPr>
      </w:pPr>
    </w:p>
    <w:p w:rsidR="006A5A27" w:rsidRDefault="006A5A27" w:rsidP="006A5A27">
      <w:pPr>
        <w:shd w:val="clear" w:color="auto" w:fill="FFFFFF"/>
        <w:rPr>
          <w:color w:val="000000"/>
          <w:sz w:val="24"/>
        </w:rPr>
      </w:pPr>
      <w:proofErr w:type="spellStart"/>
      <w:proofErr w:type="gramStart"/>
      <w:r w:rsidRPr="006A5A27">
        <w:rPr>
          <w:bCs/>
          <w:iCs/>
          <w:sz w:val="24"/>
        </w:rPr>
        <w:t>Ryu</w:t>
      </w:r>
      <w:proofErr w:type="spellEnd"/>
      <w:r w:rsidRPr="006A5A27">
        <w:rPr>
          <w:bCs/>
          <w:iCs/>
          <w:sz w:val="24"/>
        </w:rPr>
        <w:t>, M. (2013).</w:t>
      </w:r>
      <w:proofErr w:type="gramEnd"/>
      <w:r w:rsidRPr="006A5A27">
        <w:rPr>
          <w:bCs/>
          <w:iCs/>
          <w:sz w:val="24"/>
        </w:rPr>
        <w:t xml:space="preserve"> </w:t>
      </w:r>
      <w:r w:rsidRPr="006A5A27">
        <w:rPr>
          <w:bCs/>
          <w:i/>
          <w:iCs/>
          <w:sz w:val="24"/>
        </w:rPr>
        <w:t>Credit for Prior Learning: From the Student, Campus and Industry Perspectives.</w:t>
      </w:r>
      <w:r w:rsidRPr="006A5A27">
        <w:rPr>
          <w:bCs/>
          <w:iCs/>
          <w:sz w:val="24"/>
        </w:rPr>
        <w:t xml:space="preserve"> </w:t>
      </w:r>
      <w:proofErr w:type="gramStart"/>
      <w:r>
        <w:rPr>
          <w:bCs/>
          <w:iCs/>
          <w:sz w:val="24"/>
        </w:rPr>
        <w:t>A publication of American Council on Education (ACE) Center for Policy Research and Strategy.</w:t>
      </w:r>
      <w:proofErr w:type="gramEnd"/>
      <w:r>
        <w:rPr>
          <w:bCs/>
          <w:iCs/>
          <w:sz w:val="24"/>
        </w:rPr>
        <w:t xml:space="preserve"> </w:t>
      </w:r>
      <w:r w:rsidRPr="006A5A27">
        <w:rPr>
          <w:bCs/>
          <w:iCs/>
          <w:sz w:val="24"/>
        </w:rPr>
        <w:t xml:space="preserve">Available online at: </w:t>
      </w:r>
      <w:hyperlink r:id="rId30" w:history="1">
        <w:r w:rsidRPr="006A5A27">
          <w:rPr>
            <w:rStyle w:val="Hyperlink"/>
            <w:sz w:val="24"/>
          </w:rPr>
          <w:t>http://www.acenet.edu/news-room/Documents/Credit-for-Prior-Learning-Issue-Brief.pdf</w:t>
        </w:r>
      </w:hyperlink>
    </w:p>
    <w:p w:rsidR="006A5A27" w:rsidRDefault="006A5A27" w:rsidP="006A5A27">
      <w:pPr>
        <w:shd w:val="clear" w:color="auto" w:fill="FFFFFF"/>
        <w:rPr>
          <w:color w:val="000000"/>
          <w:sz w:val="24"/>
        </w:rPr>
      </w:pPr>
    </w:p>
    <w:p w:rsidR="00CF4BEA" w:rsidRPr="006A5A27" w:rsidRDefault="00CF4BEA" w:rsidP="00961E23">
      <w:pPr>
        <w:shd w:val="clear" w:color="auto" w:fill="FFFFFF"/>
        <w:rPr>
          <w:color w:val="000000"/>
          <w:sz w:val="24"/>
        </w:rPr>
      </w:pPr>
      <w:r>
        <w:rPr>
          <w:bCs/>
          <w:iCs/>
          <w:sz w:val="24"/>
        </w:rPr>
        <w:t>Schneider, J. (2014).</w:t>
      </w:r>
      <w:r w:rsidR="00E92F4F">
        <w:rPr>
          <w:bCs/>
          <w:iCs/>
          <w:sz w:val="24"/>
        </w:rPr>
        <w:t xml:space="preserve"> </w:t>
      </w:r>
      <w:proofErr w:type="gramStart"/>
      <w:r w:rsidR="00D56951">
        <w:rPr>
          <w:bCs/>
          <w:i/>
          <w:iCs/>
          <w:sz w:val="24"/>
        </w:rPr>
        <w:t>Advanced Placement Analysis.</w:t>
      </w:r>
      <w:proofErr w:type="gramEnd"/>
      <w:r w:rsidR="00D56951">
        <w:rPr>
          <w:bCs/>
          <w:iCs/>
          <w:sz w:val="24"/>
        </w:rPr>
        <w:t xml:space="preserve"> </w:t>
      </w:r>
      <w:proofErr w:type="gramStart"/>
      <w:r w:rsidR="00D56951">
        <w:rPr>
          <w:bCs/>
          <w:iCs/>
          <w:sz w:val="24"/>
        </w:rPr>
        <w:t>(Presentation to the GE Council, on file with the Academic Affairs Office.)</w:t>
      </w:r>
      <w:proofErr w:type="gramEnd"/>
    </w:p>
    <w:p w:rsidR="00961E23" w:rsidRDefault="00961E23" w:rsidP="00961E23">
      <w:pPr>
        <w:rPr>
          <w:sz w:val="24"/>
        </w:rPr>
      </w:pPr>
    </w:p>
    <w:p w:rsidR="00417967" w:rsidRPr="00C75365" w:rsidRDefault="00417967" w:rsidP="00961E23">
      <w:pPr>
        <w:rPr>
          <w:sz w:val="24"/>
        </w:rPr>
      </w:pPr>
      <w:proofErr w:type="gramStart"/>
      <w:r w:rsidRPr="00C75365">
        <w:rPr>
          <w:sz w:val="24"/>
        </w:rPr>
        <w:t>Sherman</w:t>
      </w:r>
      <w:r w:rsidR="00C75365" w:rsidRPr="00C75365">
        <w:rPr>
          <w:sz w:val="24"/>
        </w:rPr>
        <w:t>, A., B. Klein-Collins, and I. Palmer.</w:t>
      </w:r>
      <w:proofErr w:type="gramEnd"/>
      <w:r w:rsidR="00C75365" w:rsidRPr="00C75365">
        <w:rPr>
          <w:sz w:val="24"/>
        </w:rPr>
        <w:t xml:space="preserve"> (2012). </w:t>
      </w:r>
      <w:r w:rsidR="00C75365" w:rsidRPr="00C75365">
        <w:rPr>
          <w:i/>
          <w:sz w:val="24"/>
        </w:rPr>
        <w:t>State Policy Approaches to Support Prior Learning Assessment: A Resource Guide for State Leaders.</w:t>
      </w:r>
      <w:r w:rsidR="00C75365" w:rsidRPr="00C75365">
        <w:rPr>
          <w:sz w:val="24"/>
        </w:rPr>
        <w:t xml:space="preserve"> Available online at:</w:t>
      </w:r>
      <w:r w:rsidRPr="00C75365">
        <w:rPr>
          <w:sz w:val="24"/>
        </w:rPr>
        <w:t xml:space="preserve"> </w:t>
      </w:r>
      <w:hyperlink r:id="rId31" w:history="1">
        <w:r w:rsidRPr="00C75365">
          <w:rPr>
            <w:rStyle w:val="Hyperlink"/>
            <w:sz w:val="24"/>
          </w:rPr>
          <w:t>http://strategylabs.luminafoundation.org/wp-content/uploads/2013/09/cp_resource_guide_final_0-copy.pdf</w:t>
        </w:r>
      </w:hyperlink>
    </w:p>
    <w:p w:rsidR="00A2172D" w:rsidRDefault="00A2172D" w:rsidP="00CF4BEA">
      <w:pPr>
        <w:spacing w:after="345"/>
        <w:rPr>
          <w:sz w:val="24"/>
        </w:rPr>
      </w:pPr>
    </w:p>
    <w:p w:rsidR="003A15A7" w:rsidRDefault="003A15A7" w:rsidP="00CF4BEA">
      <w:pPr>
        <w:spacing w:after="345"/>
        <w:rPr>
          <w:sz w:val="24"/>
        </w:rPr>
      </w:pPr>
      <w:r>
        <w:rPr>
          <w:sz w:val="24"/>
        </w:rPr>
        <w:t xml:space="preserve">State of Tennessee. </w:t>
      </w:r>
      <w:proofErr w:type="gramStart"/>
      <w:r>
        <w:rPr>
          <w:sz w:val="24"/>
        </w:rPr>
        <w:t xml:space="preserve">(2014). </w:t>
      </w:r>
      <w:r w:rsidRPr="003A15A7">
        <w:rPr>
          <w:i/>
          <w:sz w:val="24"/>
        </w:rPr>
        <w:t>CollegeforTN.org</w:t>
      </w:r>
      <w:r>
        <w:rPr>
          <w:sz w:val="24"/>
        </w:rPr>
        <w:t xml:space="preserve"> and </w:t>
      </w:r>
      <w:r w:rsidRPr="003A15A7">
        <w:rPr>
          <w:i/>
          <w:sz w:val="24"/>
        </w:rPr>
        <w:t>BeginAgainTN.org</w:t>
      </w:r>
      <w:r>
        <w:rPr>
          <w:sz w:val="24"/>
        </w:rPr>
        <w:t xml:space="preserve"> website.</w:t>
      </w:r>
      <w:proofErr w:type="gramEnd"/>
      <w:r>
        <w:rPr>
          <w:sz w:val="24"/>
        </w:rPr>
        <w:t xml:space="preserve">  Available online at: </w:t>
      </w:r>
      <w:hyperlink r:id="rId32" w:history="1">
        <w:r w:rsidRPr="00574E6C">
          <w:rPr>
            <w:rStyle w:val="Hyperlink"/>
            <w:sz w:val="24"/>
          </w:rPr>
          <w:t>https://secure.collegefortn.org/Adults/_default.aspx</w:t>
        </w:r>
      </w:hyperlink>
      <w:r>
        <w:rPr>
          <w:sz w:val="24"/>
        </w:rPr>
        <w:t>.</w:t>
      </w:r>
    </w:p>
    <w:p w:rsidR="00B57C75" w:rsidRDefault="00B57C75">
      <w:pPr>
        <w:rPr>
          <w:sz w:val="24"/>
        </w:rPr>
        <w:sectPr w:rsidR="00B57C75" w:rsidSect="003027CC">
          <w:headerReference w:type="default" r:id="rId33"/>
          <w:pgSz w:w="12240" w:h="15840"/>
          <w:pgMar w:top="1440" w:right="1440" w:bottom="720" w:left="1440" w:header="720" w:footer="720" w:gutter="0"/>
          <w:cols w:space="720"/>
          <w:docGrid w:linePitch="360"/>
        </w:sectPr>
      </w:pPr>
    </w:p>
    <w:p w:rsidR="00B57C75" w:rsidRPr="00B23798" w:rsidRDefault="00B57C75" w:rsidP="00B57C75">
      <w:pPr>
        <w:jc w:val="center"/>
        <w:rPr>
          <w:b/>
          <w:sz w:val="24"/>
        </w:rPr>
      </w:pPr>
      <w:r w:rsidRPr="00B23798">
        <w:rPr>
          <w:b/>
          <w:sz w:val="24"/>
        </w:rPr>
        <w:lastRenderedPageBreak/>
        <w:t>Appendix</w:t>
      </w:r>
      <w:r w:rsidR="00056466" w:rsidRPr="00B23798">
        <w:rPr>
          <w:b/>
          <w:sz w:val="24"/>
        </w:rPr>
        <w:t xml:space="preserve"> A</w:t>
      </w:r>
      <w:r w:rsidRPr="00B23798">
        <w:rPr>
          <w:b/>
          <w:sz w:val="24"/>
        </w:rPr>
        <w:t>: Colorado Institutions’ PLA Policies</w:t>
      </w:r>
    </w:p>
    <w:p w:rsidR="002C2B5A" w:rsidRPr="00B23798" w:rsidRDefault="002C2B5A" w:rsidP="00B57C75">
      <w:pPr>
        <w:jc w:val="center"/>
        <w:rPr>
          <w:b/>
          <w:sz w:val="24"/>
        </w:rPr>
      </w:pPr>
    </w:p>
    <w:p w:rsidR="000945EC" w:rsidRPr="00B23798" w:rsidRDefault="000945EC" w:rsidP="00B57C75">
      <w:pPr>
        <w:jc w:val="center"/>
        <w:rPr>
          <w:sz w:val="24"/>
        </w:rPr>
      </w:pPr>
      <w:r w:rsidRPr="00B23798">
        <w:rPr>
          <w:sz w:val="24"/>
        </w:rPr>
        <w:t>(x = institution accepts/awards this type of credit to some extent)</w:t>
      </w:r>
    </w:p>
    <w:p w:rsidR="00B57C75" w:rsidRDefault="00B57C75" w:rsidP="00B57C75">
      <w:pPr>
        <w:jc w:val="center"/>
        <w:rPr>
          <w:b/>
        </w:rPr>
      </w:pPr>
    </w:p>
    <w:tbl>
      <w:tblPr>
        <w:tblStyle w:val="TableGrid"/>
        <w:tblW w:w="0" w:type="auto"/>
        <w:tblLook w:val="04A0" w:firstRow="1" w:lastRow="0" w:firstColumn="1" w:lastColumn="0" w:noHBand="0" w:noVBand="1"/>
      </w:tblPr>
      <w:tblGrid>
        <w:gridCol w:w="2388"/>
        <w:gridCol w:w="813"/>
        <w:gridCol w:w="1233"/>
        <w:gridCol w:w="1438"/>
        <w:gridCol w:w="1339"/>
        <w:gridCol w:w="767"/>
        <w:gridCol w:w="1502"/>
        <w:gridCol w:w="1289"/>
        <w:gridCol w:w="1498"/>
        <w:gridCol w:w="1629"/>
      </w:tblGrid>
      <w:tr w:rsidR="00C333F9" w:rsidTr="006D57FA">
        <w:trPr>
          <w:tblHeader/>
        </w:trPr>
        <w:tc>
          <w:tcPr>
            <w:tcW w:w="0" w:type="auto"/>
            <w:shd w:val="pct5" w:color="EEECE1" w:themeColor="background2" w:fill="EEECE1" w:themeFill="background2"/>
            <w:vAlign w:val="bottom"/>
          </w:tcPr>
          <w:p w:rsidR="00DE6468" w:rsidRDefault="00DE6468" w:rsidP="001C7F88">
            <w:pPr>
              <w:pStyle w:val="NoSpacing"/>
              <w:jc w:val="center"/>
              <w:rPr>
                <w:b/>
              </w:rPr>
            </w:pPr>
            <w:r>
              <w:rPr>
                <w:b/>
              </w:rPr>
              <w:t>Institution/System</w:t>
            </w:r>
          </w:p>
          <w:p w:rsidR="00DE6468" w:rsidRPr="00DE7070" w:rsidRDefault="00DE6468" w:rsidP="001C7F88">
            <w:pPr>
              <w:pStyle w:val="NoSpacing"/>
              <w:jc w:val="center"/>
              <w:rPr>
                <w:b/>
              </w:rPr>
            </w:pPr>
            <w:r>
              <w:rPr>
                <w:b/>
              </w:rPr>
              <w:t>w/ hyperlink to policy</w:t>
            </w:r>
          </w:p>
        </w:tc>
        <w:tc>
          <w:tcPr>
            <w:tcW w:w="0" w:type="auto"/>
            <w:shd w:val="pct5" w:color="EEECE1" w:themeColor="background2" w:fill="EEECE1" w:themeFill="background2"/>
            <w:vAlign w:val="bottom"/>
          </w:tcPr>
          <w:p w:rsidR="00DE6468" w:rsidRPr="00DE7070" w:rsidRDefault="00DE6468" w:rsidP="000945EC">
            <w:pPr>
              <w:pStyle w:val="NoSpacing"/>
              <w:jc w:val="center"/>
              <w:rPr>
                <w:b/>
              </w:rPr>
            </w:pPr>
            <w:r w:rsidRPr="00DE7070">
              <w:rPr>
                <w:b/>
              </w:rPr>
              <w:t>AP</w:t>
            </w:r>
            <w:r>
              <w:rPr>
                <w:b/>
              </w:rPr>
              <w:t xml:space="preserve"> </w:t>
            </w:r>
          </w:p>
        </w:tc>
        <w:tc>
          <w:tcPr>
            <w:tcW w:w="0" w:type="auto"/>
            <w:shd w:val="pct5" w:color="EEECE1" w:themeColor="background2" w:fill="EEECE1" w:themeFill="background2"/>
            <w:vAlign w:val="bottom"/>
          </w:tcPr>
          <w:p w:rsidR="00DE6468" w:rsidRDefault="00DE6468" w:rsidP="000945EC">
            <w:pPr>
              <w:pStyle w:val="NoSpacing"/>
              <w:jc w:val="center"/>
              <w:rPr>
                <w:b/>
              </w:rPr>
            </w:pPr>
            <w:r w:rsidRPr="00DE7070">
              <w:rPr>
                <w:b/>
              </w:rPr>
              <w:t>IB</w:t>
            </w:r>
            <w:r>
              <w:rPr>
                <w:b/>
              </w:rPr>
              <w:t xml:space="preserve"> </w:t>
            </w:r>
          </w:p>
          <w:p w:rsidR="00C333F9" w:rsidRPr="00C333F9" w:rsidRDefault="00C333F9" w:rsidP="000945EC">
            <w:pPr>
              <w:pStyle w:val="NoSpacing"/>
              <w:jc w:val="center"/>
            </w:pPr>
            <w:r w:rsidRPr="00C333F9">
              <w:t>(required by statute)</w:t>
            </w:r>
          </w:p>
        </w:tc>
        <w:tc>
          <w:tcPr>
            <w:tcW w:w="0" w:type="auto"/>
            <w:shd w:val="pct5" w:color="EEECE1" w:themeColor="background2" w:fill="EEECE1" w:themeFill="background2"/>
            <w:vAlign w:val="bottom"/>
          </w:tcPr>
          <w:p w:rsidR="00DE6468" w:rsidRPr="00DE7070" w:rsidRDefault="00DE6468" w:rsidP="001C7F88">
            <w:pPr>
              <w:pStyle w:val="NoSpacing"/>
              <w:jc w:val="center"/>
              <w:rPr>
                <w:b/>
              </w:rPr>
            </w:pPr>
            <w:r w:rsidRPr="00DE7070">
              <w:rPr>
                <w:b/>
              </w:rPr>
              <w:t>CLEP</w:t>
            </w:r>
            <w:r>
              <w:rPr>
                <w:b/>
              </w:rPr>
              <w:t xml:space="preserve"> minimum score(s)</w:t>
            </w:r>
          </w:p>
        </w:tc>
        <w:tc>
          <w:tcPr>
            <w:tcW w:w="0" w:type="auto"/>
            <w:shd w:val="pct5" w:color="EEECE1" w:themeColor="background2" w:fill="EEECE1" w:themeFill="background2"/>
            <w:vAlign w:val="bottom"/>
          </w:tcPr>
          <w:p w:rsidR="00DE6468" w:rsidRDefault="00DE6468" w:rsidP="001C7F88">
            <w:pPr>
              <w:pStyle w:val="NoSpacing"/>
              <w:jc w:val="center"/>
              <w:rPr>
                <w:b/>
              </w:rPr>
            </w:pPr>
            <w:r w:rsidRPr="00DE7070">
              <w:rPr>
                <w:b/>
              </w:rPr>
              <w:t>Challenge Exams</w:t>
            </w:r>
          </w:p>
          <w:p w:rsidR="00DE6468" w:rsidRPr="007C394E" w:rsidRDefault="00DE6468" w:rsidP="001C7F88">
            <w:pPr>
              <w:pStyle w:val="NoSpacing"/>
              <w:jc w:val="center"/>
            </w:pPr>
            <w:r w:rsidRPr="007C394E">
              <w:t>(required by statute)</w:t>
            </w:r>
          </w:p>
        </w:tc>
        <w:tc>
          <w:tcPr>
            <w:tcW w:w="0" w:type="auto"/>
            <w:shd w:val="pct5" w:color="EEECE1" w:themeColor="background2" w:fill="EEECE1" w:themeFill="background2"/>
            <w:vAlign w:val="bottom"/>
          </w:tcPr>
          <w:p w:rsidR="00DE6468" w:rsidRPr="00DE7070" w:rsidRDefault="00DE6468" w:rsidP="001C7F88">
            <w:pPr>
              <w:pStyle w:val="NoSpacing"/>
              <w:jc w:val="center"/>
              <w:rPr>
                <w:b/>
              </w:rPr>
            </w:pPr>
            <w:r w:rsidRPr="00DE7070">
              <w:rPr>
                <w:b/>
              </w:rPr>
              <w:t>DSST</w:t>
            </w:r>
          </w:p>
        </w:tc>
        <w:tc>
          <w:tcPr>
            <w:tcW w:w="0" w:type="auto"/>
            <w:shd w:val="pct5" w:color="EEECE1" w:themeColor="background2" w:fill="EEECE1" w:themeFill="background2"/>
            <w:vAlign w:val="bottom"/>
          </w:tcPr>
          <w:p w:rsidR="00DE6468" w:rsidRPr="00DE7070" w:rsidRDefault="00DE6468" w:rsidP="001C7F88">
            <w:pPr>
              <w:pStyle w:val="NoSpacing"/>
              <w:jc w:val="center"/>
              <w:rPr>
                <w:b/>
              </w:rPr>
            </w:pPr>
            <w:r w:rsidRPr="00DE7070">
              <w:rPr>
                <w:b/>
              </w:rPr>
              <w:t>ACE-Workforce Credit</w:t>
            </w:r>
          </w:p>
        </w:tc>
        <w:tc>
          <w:tcPr>
            <w:tcW w:w="0" w:type="auto"/>
            <w:shd w:val="pct5" w:color="EEECE1" w:themeColor="background2" w:fill="EEECE1" w:themeFill="background2"/>
            <w:vAlign w:val="bottom"/>
          </w:tcPr>
          <w:p w:rsidR="00DE6468" w:rsidRPr="00DE7070" w:rsidRDefault="00DE6468" w:rsidP="001C7F88">
            <w:pPr>
              <w:pStyle w:val="NoSpacing"/>
              <w:jc w:val="center"/>
              <w:rPr>
                <w:b/>
              </w:rPr>
            </w:pPr>
            <w:r w:rsidRPr="00DE7070">
              <w:rPr>
                <w:b/>
              </w:rPr>
              <w:t>ACE – Military Credit</w:t>
            </w:r>
          </w:p>
        </w:tc>
        <w:tc>
          <w:tcPr>
            <w:tcW w:w="0" w:type="auto"/>
            <w:shd w:val="pct5" w:color="EEECE1" w:themeColor="background2" w:fill="EEECE1" w:themeFill="background2"/>
            <w:vAlign w:val="bottom"/>
          </w:tcPr>
          <w:p w:rsidR="00DE6468" w:rsidRPr="00DE7070" w:rsidRDefault="00DE6468" w:rsidP="006D57FA">
            <w:pPr>
              <w:pStyle w:val="NoSpacing"/>
              <w:jc w:val="center"/>
              <w:rPr>
                <w:b/>
              </w:rPr>
            </w:pPr>
            <w:r>
              <w:rPr>
                <w:b/>
              </w:rPr>
              <w:t>Defense Language Institute</w:t>
            </w:r>
          </w:p>
        </w:tc>
        <w:tc>
          <w:tcPr>
            <w:tcW w:w="0" w:type="auto"/>
            <w:shd w:val="pct5" w:color="EEECE1" w:themeColor="background2" w:fill="EEECE1" w:themeFill="background2"/>
            <w:vAlign w:val="bottom"/>
          </w:tcPr>
          <w:p w:rsidR="00DE6468" w:rsidRPr="00DE7070" w:rsidRDefault="00DE6468" w:rsidP="001C7F88">
            <w:pPr>
              <w:pStyle w:val="NoSpacing"/>
              <w:jc w:val="center"/>
              <w:rPr>
                <w:b/>
              </w:rPr>
            </w:pPr>
            <w:r w:rsidRPr="00DE7070">
              <w:rPr>
                <w:b/>
              </w:rPr>
              <w:t>Portfolio-Based</w:t>
            </w:r>
          </w:p>
          <w:p w:rsidR="00DE6468" w:rsidRPr="00DE7070" w:rsidRDefault="00DE6468" w:rsidP="001C7F88">
            <w:pPr>
              <w:pStyle w:val="NoSpacing"/>
              <w:jc w:val="center"/>
              <w:rPr>
                <w:b/>
              </w:rPr>
            </w:pPr>
            <w:r w:rsidRPr="00DE7070">
              <w:rPr>
                <w:b/>
              </w:rPr>
              <w:t>Assessments</w:t>
            </w:r>
          </w:p>
        </w:tc>
      </w:tr>
      <w:tr w:rsidR="00C333F9" w:rsidTr="006D57FA">
        <w:tc>
          <w:tcPr>
            <w:tcW w:w="0" w:type="auto"/>
            <w:vAlign w:val="center"/>
          </w:tcPr>
          <w:p w:rsidR="00DE6468" w:rsidRPr="000945EC" w:rsidRDefault="00244DB6" w:rsidP="001C7F88">
            <w:pPr>
              <w:jc w:val="right"/>
              <w:rPr>
                <w:b/>
              </w:rPr>
            </w:pPr>
            <w:hyperlink r:id="rId34" w:history="1">
              <w:r w:rsidR="00DE6468" w:rsidRPr="00BA0522">
                <w:rPr>
                  <w:rStyle w:val="Hyperlink"/>
                  <w:b/>
                </w:rPr>
                <w:t>CCCS, Aims CC &amp; C</w:t>
              </w:r>
              <w:r w:rsidR="00DE6468">
                <w:rPr>
                  <w:rStyle w:val="Hyperlink"/>
                  <w:b/>
                </w:rPr>
                <w:t xml:space="preserve">olo. </w:t>
              </w:r>
              <w:r w:rsidR="00DE6468" w:rsidRPr="00BA0522">
                <w:rPr>
                  <w:rStyle w:val="Hyperlink"/>
                  <w:b/>
                </w:rPr>
                <w:t>M</w:t>
              </w:r>
              <w:r w:rsidR="00DE6468">
                <w:rPr>
                  <w:rStyle w:val="Hyperlink"/>
                  <w:b/>
                </w:rPr>
                <w:t xml:space="preserve">tn. </w:t>
              </w:r>
              <w:r w:rsidR="00DE6468" w:rsidRPr="00BA0522">
                <w:rPr>
                  <w:rStyle w:val="Hyperlink"/>
                  <w:b/>
                </w:rPr>
                <w:t>C</w:t>
              </w:r>
            </w:hyperlink>
            <w:r w:rsidR="00DE6468">
              <w:rPr>
                <w:rStyle w:val="Hyperlink"/>
                <w:b/>
              </w:rPr>
              <w:t>ollege</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tcPr>
          <w:p w:rsidR="00DE6468" w:rsidRDefault="00DE6468" w:rsidP="0086122A">
            <w:pPr>
              <w:jc w:val="center"/>
            </w:pPr>
          </w:p>
        </w:tc>
        <w:tc>
          <w:tcPr>
            <w:tcW w:w="0" w:type="auto"/>
            <w:vAlign w:val="center"/>
          </w:tcPr>
          <w:p w:rsidR="00DE6468" w:rsidRDefault="00DE6468" w:rsidP="0086122A">
            <w:pPr>
              <w:jc w:val="center"/>
            </w:pPr>
            <w:r>
              <w:t>x</w:t>
            </w:r>
          </w:p>
        </w:tc>
      </w:tr>
      <w:tr w:rsidR="00C333F9" w:rsidTr="006D57FA">
        <w:tc>
          <w:tcPr>
            <w:tcW w:w="0" w:type="auto"/>
            <w:vAlign w:val="center"/>
          </w:tcPr>
          <w:p w:rsidR="00DE6468" w:rsidRPr="00AD56FF" w:rsidRDefault="00244DB6" w:rsidP="001C7F88">
            <w:pPr>
              <w:jc w:val="right"/>
              <w:rPr>
                <w:b/>
              </w:rPr>
            </w:pPr>
            <w:hyperlink r:id="rId35" w:history="1">
              <w:r w:rsidR="00DE6468" w:rsidRPr="000945EC">
                <w:rPr>
                  <w:rStyle w:val="Hyperlink"/>
                  <w:b/>
                </w:rPr>
                <w:t>A</w:t>
              </w:r>
              <w:r w:rsidR="00DE6468">
                <w:rPr>
                  <w:rStyle w:val="Hyperlink"/>
                  <w:b/>
                </w:rPr>
                <w:t xml:space="preserve">dams </w:t>
              </w:r>
              <w:r w:rsidR="00DE6468" w:rsidRPr="000945EC">
                <w:rPr>
                  <w:rStyle w:val="Hyperlink"/>
                  <w:b/>
                </w:rPr>
                <w:t>S</w:t>
              </w:r>
              <w:r w:rsidR="00DE6468">
                <w:rPr>
                  <w:rStyle w:val="Hyperlink"/>
                  <w:b/>
                </w:rPr>
                <w:t xml:space="preserve">tate </w:t>
              </w:r>
              <w:r w:rsidR="00DE6468" w:rsidRPr="000945EC">
                <w:rPr>
                  <w:rStyle w:val="Hyperlink"/>
                  <w:b/>
                </w:rPr>
                <w:t>U</w:t>
              </w:r>
            </w:hyperlink>
            <w:r w:rsidR="00DE6468">
              <w:rPr>
                <w:rStyle w:val="Hyperlink"/>
                <w:b/>
              </w:rPr>
              <w:t>.</w:t>
            </w:r>
          </w:p>
        </w:tc>
        <w:tc>
          <w:tcPr>
            <w:tcW w:w="0" w:type="auto"/>
            <w:vAlign w:val="center"/>
          </w:tcPr>
          <w:p w:rsidR="00DE6468" w:rsidRDefault="00DE6468" w:rsidP="0086122A">
            <w:pPr>
              <w:jc w:val="center"/>
            </w:pPr>
            <w:r>
              <w:t>x</w:t>
            </w:r>
          </w:p>
        </w:tc>
        <w:tc>
          <w:tcPr>
            <w:tcW w:w="0" w:type="auto"/>
            <w:vAlign w:val="center"/>
          </w:tcPr>
          <w:p w:rsidR="00DE6468" w:rsidRDefault="00C333F9" w:rsidP="0086122A">
            <w:pPr>
              <w:jc w:val="center"/>
            </w:pPr>
            <w:r>
              <w:t>x</w:t>
            </w:r>
          </w:p>
        </w:tc>
        <w:tc>
          <w:tcPr>
            <w:tcW w:w="0" w:type="auto"/>
            <w:vAlign w:val="center"/>
          </w:tcPr>
          <w:p w:rsidR="00DE6468" w:rsidRDefault="00DE6468" w:rsidP="0086122A">
            <w:pPr>
              <w:jc w:val="center"/>
            </w:pP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p>
        </w:tc>
        <w:tc>
          <w:tcPr>
            <w:tcW w:w="0" w:type="auto"/>
            <w:vAlign w:val="center"/>
          </w:tcPr>
          <w:p w:rsidR="00DE6468" w:rsidRDefault="00DE6468" w:rsidP="0086122A">
            <w:pPr>
              <w:jc w:val="center"/>
            </w:pPr>
          </w:p>
        </w:tc>
        <w:tc>
          <w:tcPr>
            <w:tcW w:w="0" w:type="auto"/>
            <w:vAlign w:val="center"/>
          </w:tcPr>
          <w:p w:rsidR="00DE6468" w:rsidRDefault="00DE6468" w:rsidP="0086122A">
            <w:pPr>
              <w:jc w:val="center"/>
            </w:pPr>
            <w:r>
              <w:t>x</w:t>
            </w:r>
          </w:p>
        </w:tc>
        <w:tc>
          <w:tcPr>
            <w:tcW w:w="0" w:type="auto"/>
          </w:tcPr>
          <w:p w:rsidR="00DE6468" w:rsidRDefault="00DE6468" w:rsidP="0086122A">
            <w:pPr>
              <w:jc w:val="center"/>
            </w:pPr>
          </w:p>
        </w:tc>
        <w:tc>
          <w:tcPr>
            <w:tcW w:w="0" w:type="auto"/>
            <w:vAlign w:val="center"/>
          </w:tcPr>
          <w:p w:rsidR="00DE6468" w:rsidRDefault="00DE6468" w:rsidP="0086122A">
            <w:pPr>
              <w:jc w:val="center"/>
            </w:pPr>
            <w:r>
              <w:t>x</w:t>
            </w:r>
          </w:p>
        </w:tc>
      </w:tr>
      <w:tr w:rsidR="00C333F9" w:rsidTr="006D57FA">
        <w:tc>
          <w:tcPr>
            <w:tcW w:w="0" w:type="auto"/>
            <w:vAlign w:val="center"/>
          </w:tcPr>
          <w:p w:rsidR="00DE6468" w:rsidRDefault="00244DB6" w:rsidP="001C7F88">
            <w:pPr>
              <w:jc w:val="right"/>
              <w:rPr>
                <w:b/>
              </w:rPr>
            </w:pPr>
            <w:hyperlink r:id="rId36" w:history="1">
              <w:r w:rsidR="00DE6468" w:rsidRPr="00C333F9">
                <w:rPr>
                  <w:rStyle w:val="Hyperlink"/>
                  <w:b/>
                </w:rPr>
                <w:t>Colo. Mesa U</w:t>
              </w:r>
            </w:hyperlink>
          </w:p>
        </w:tc>
        <w:tc>
          <w:tcPr>
            <w:tcW w:w="0" w:type="auto"/>
            <w:vAlign w:val="center"/>
          </w:tcPr>
          <w:p w:rsidR="00DE6468" w:rsidRDefault="00C333F9" w:rsidP="0086122A">
            <w:pPr>
              <w:jc w:val="center"/>
            </w:pPr>
            <w:r>
              <w:t>x</w:t>
            </w:r>
          </w:p>
        </w:tc>
        <w:tc>
          <w:tcPr>
            <w:tcW w:w="0" w:type="auto"/>
            <w:vAlign w:val="center"/>
          </w:tcPr>
          <w:p w:rsidR="00DE6468" w:rsidRDefault="00C333F9" w:rsidP="0086122A">
            <w:pPr>
              <w:jc w:val="center"/>
            </w:pPr>
            <w:r>
              <w:t>x</w:t>
            </w:r>
          </w:p>
        </w:tc>
        <w:tc>
          <w:tcPr>
            <w:tcW w:w="0" w:type="auto"/>
            <w:vAlign w:val="center"/>
          </w:tcPr>
          <w:p w:rsidR="00DE6468" w:rsidRDefault="00C333F9"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C333F9" w:rsidP="0086122A">
            <w:pPr>
              <w:jc w:val="center"/>
            </w:pPr>
            <w:r>
              <w:t>x</w:t>
            </w:r>
          </w:p>
        </w:tc>
        <w:tc>
          <w:tcPr>
            <w:tcW w:w="0" w:type="auto"/>
            <w:vAlign w:val="center"/>
          </w:tcPr>
          <w:p w:rsidR="00DE6468" w:rsidRDefault="00DE6468" w:rsidP="0086122A">
            <w:pPr>
              <w:jc w:val="center"/>
            </w:pPr>
          </w:p>
        </w:tc>
        <w:tc>
          <w:tcPr>
            <w:tcW w:w="0" w:type="auto"/>
            <w:vAlign w:val="center"/>
          </w:tcPr>
          <w:p w:rsidR="00DE6468" w:rsidRDefault="00C333F9" w:rsidP="0086122A">
            <w:pPr>
              <w:jc w:val="center"/>
            </w:pPr>
            <w:r>
              <w:t>x</w:t>
            </w:r>
          </w:p>
        </w:tc>
        <w:tc>
          <w:tcPr>
            <w:tcW w:w="0" w:type="auto"/>
          </w:tcPr>
          <w:p w:rsidR="00DE6468" w:rsidRDefault="00DE6468" w:rsidP="0086122A">
            <w:pPr>
              <w:jc w:val="center"/>
            </w:pPr>
          </w:p>
        </w:tc>
        <w:tc>
          <w:tcPr>
            <w:tcW w:w="0" w:type="auto"/>
            <w:vAlign w:val="center"/>
          </w:tcPr>
          <w:p w:rsidR="00DE6468" w:rsidRDefault="00C333F9" w:rsidP="0086122A">
            <w:pPr>
              <w:jc w:val="center"/>
            </w:pPr>
            <w:r>
              <w:t>x</w:t>
            </w:r>
          </w:p>
        </w:tc>
      </w:tr>
      <w:tr w:rsidR="00C333F9" w:rsidTr="006D57FA">
        <w:tc>
          <w:tcPr>
            <w:tcW w:w="0" w:type="auto"/>
            <w:vAlign w:val="center"/>
          </w:tcPr>
          <w:p w:rsidR="00DE6468" w:rsidRDefault="00244DB6" w:rsidP="001C7F88">
            <w:pPr>
              <w:jc w:val="right"/>
              <w:rPr>
                <w:b/>
              </w:rPr>
            </w:pPr>
            <w:hyperlink r:id="rId37" w:history="1">
              <w:r w:rsidR="00DE6468" w:rsidRPr="0045237B">
                <w:rPr>
                  <w:rStyle w:val="Hyperlink"/>
                  <w:b/>
                </w:rPr>
                <w:t>C</w:t>
              </w:r>
              <w:r w:rsidR="00DE6468">
                <w:rPr>
                  <w:rStyle w:val="Hyperlink"/>
                  <w:b/>
                </w:rPr>
                <w:t xml:space="preserve">olo. </w:t>
              </w:r>
              <w:r w:rsidR="00DE6468" w:rsidRPr="0045237B">
                <w:rPr>
                  <w:rStyle w:val="Hyperlink"/>
                  <w:b/>
                </w:rPr>
                <w:t>S</w:t>
              </w:r>
              <w:r w:rsidR="00DE6468">
                <w:rPr>
                  <w:rStyle w:val="Hyperlink"/>
                  <w:b/>
                </w:rPr>
                <w:t xml:space="preserve">chool of </w:t>
              </w:r>
              <w:r w:rsidR="00DE6468" w:rsidRPr="0045237B">
                <w:rPr>
                  <w:rStyle w:val="Hyperlink"/>
                  <w:b/>
                </w:rPr>
                <w:t>Mines</w:t>
              </w:r>
            </w:hyperlink>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p>
        </w:tc>
        <w:tc>
          <w:tcPr>
            <w:tcW w:w="0" w:type="auto"/>
            <w:vAlign w:val="center"/>
          </w:tcPr>
          <w:p w:rsidR="00DE6468" w:rsidRDefault="00DE6468" w:rsidP="0086122A">
            <w:pPr>
              <w:jc w:val="center"/>
            </w:pPr>
          </w:p>
        </w:tc>
        <w:tc>
          <w:tcPr>
            <w:tcW w:w="0" w:type="auto"/>
            <w:vAlign w:val="center"/>
          </w:tcPr>
          <w:p w:rsidR="00DE6468" w:rsidRDefault="00DE6468" w:rsidP="0086122A">
            <w:pPr>
              <w:jc w:val="center"/>
            </w:pPr>
          </w:p>
        </w:tc>
        <w:tc>
          <w:tcPr>
            <w:tcW w:w="0" w:type="auto"/>
          </w:tcPr>
          <w:p w:rsidR="00DE6468" w:rsidRDefault="00DE6468" w:rsidP="0086122A">
            <w:pPr>
              <w:jc w:val="center"/>
            </w:pPr>
          </w:p>
        </w:tc>
        <w:tc>
          <w:tcPr>
            <w:tcW w:w="0" w:type="auto"/>
            <w:vAlign w:val="center"/>
          </w:tcPr>
          <w:p w:rsidR="00DE6468" w:rsidRDefault="00DE6468" w:rsidP="0086122A">
            <w:pPr>
              <w:jc w:val="center"/>
            </w:pPr>
          </w:p>
        </w:tc>
      </w:tr>
      <w:tr w:rsidR="00C333F9" w:rsidTr="006D57FA">
        <w:tc>
          <w:tcPr>
            <w:tcW w:w="0" w:type="auto"/>
            <w:vAlign w:val="center"/>
          </w:tcPr>
          <w:p w:rsidR="00DE6468" w:rsidRDefault="00244DB6" w:rsidP="001C7F88">
            <w:pPr>
              <w:jc w:val="right"/>
              <w:rPr>
                <w:b/>
              </w:rPr>
            </w:pPr>
            <w:hyperlink r:id="rId38" w:history="1">
              <w:r w:rsidR="00DE6468" w:rsidRPr="007C394E">
                <w:rPr>
                  <w:rStyle w:val="Hyperlink"/>
                  <w:b/>
                </w:rPr>
                <w:t>C</w:t>
              </w:r>
              <w:r w:rsidR="00DE6468">
                <w:rPr>
                  <w:rStyle w:val="Hyperlink"/>
                  <w:b/>
                </w:rPr>
                <w:t xml:space="preserve">olo. </w:t>
              </w:r>
              <w:r w:rsidR="00DE6468" w:rsidRPr="007C394E">
                <w:rPr>
                  <w:rStyle w:val="Hyperlink"/>
                  <w:b/>
                </w:rPr>
                <w:t>S</w:t>
              </w:r>
              <w:r w:rsidR="00DE6468">
                <w:rPr>
                  <w:rStyle w:val="Hyperlink"/>
                  <w:b/>
                </w:rPr>
                <w:t xml:space="preserve">tate </w:t>
              </w:r>
              <w:r w:rsidR="00DE6468" w:rsidRPr="007C394E">
                <w:rPr>
                  <w:rStyle w:val="Hyperlink"/>
                  <w:b/>
                </w:rPr>
                <w:t>U</w:t>
              </w:r>
            </w:hyperlink>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tcPr>
          <w:p w:rsidR="00DE6468" w:rsidRDefault="00DE6468" w:rsidP="0086122A">
            <w:pPr>
              <w:jc w:val="center"/>
            </w:pPr>
          </w:p>
        </w:tc>
        <w:tc>
          <w:tcPr>
            <w:tcW w:w="0" w:type="auto"/>
            <w:vAlign w:val="center"/>
          </w:tcPr>
          <w:p w:rsidR="00DE6468" w:rsidRDefault="00DE6468" w:rsidP="0086122A">
            <w:pPr>
              <w:jc w:val="center"/>
            </w:pPr>
          </w:p>
        </w:tc>
      </w:tr>
      <w:tr w:rsidR="00C333F9" w:rsidTr="006D57FA">
        <w:tc>
          <w:tcPr>
            <w:tcW w:w="0" w:type="auto"/>
            <w:vAlign w:val="center"/>
          </w:tcPr>
          <w:p w:rsidR="00DE6468" w:rsidRDefault="00244DB6" w:rsidP="000945EC">
            <w:pPr>
              <w:jc w:val="right"/>
              <w:rPr>
                <w:b/>
              </w:rPr>
            </w:pPr>
            <w:hyperlink r:id="rId39" w:history="1">
              <w:r w:rsidR="00DE6468" w:rsidRPr="000945EC">
                <w:rPr>
                  <w:rStyle w:val="Hyperlink"/>
                  <w:b/>
                </w:rPr>
                <w:t>CSU-Global Campus</w:t>
              </w:r>
            </w:hyperlink>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tcPr>
          <w:p w:rsidR="00DE6468" w:rsidRDefault="00DE6468" w:rsidP="0086122A">
            <w:pPr>
              <w:jc w:val="center"/>
            </w:pPr>
          </w:p>
        </w:tc>
        <w:tc>
          <w:tcPr>
            <w:tcW w:w="0" w:type="auto"/>
            <w:vAlign w:val="center"/>
          </w:tcPr>
          <w:p w:rsidR="00DE6468" w:rsidRDefault="00DE6468" w:rsidP="0086122A">
            <w:pPr>
              <w:jc w:val="center"/>
            </w:pPr>
            <w:r>
              <w:t>x</w:t>
            </w:r>
          </w:p>
        </w:tc>
      </w:tr>
      <w:tr w:rsidR="00C333F9" w:rsidTr="006D57FA">
        <w:tc>
          <w:tcPr>
            <w:tcW w:w="0" w:type="auto"/>
            <w:vAlign w:val="center"/>
          </w:tcPr>
          <w:p w:rsidR="00DE6468" w:rsidRDefault="00244DB6" w:rsidP="001C7F88">
            <w:pPr>
              <w:jc w:val="right"/>
              <w:rPr>
                <w:b/>
              </w:rPr>
            </w:pPr>
            <w:hyperlink r:id="rId40" w:history="1">
              <w:r w:rsidR="00DE6468" w:rsidRPr="00F100C0">
                <w:rPr>
                  <w:rStyle w:val="Hyperlink"/>
                  <w:b/>
                </w:rPr>
                <w:t>CSU-Pueblo</w:t>
              </w:r>
            </w:hyperlink>
          </w:p>
          <w:p w:rsidR="00E324A0" w:rsidRPr="00E324A0" w:rsidRDefault="00E324A0" w:rsidP="00E324A0">
            <w:pPr>
              <w:jc w:val="right"/>
            </w:pPr>
            <w:r>
              <w:t>(page numbers refer to c</w:t>
            </w:r>
            <w:r w:rsidRPr="00E324A0">
              <w:t xml:space="preserve">atalog linked </w:t>
            </w:r>
            <w:r>
              <w:t>here)</w:t>
            </w:r>
          </w:p>
        </w:tc>
        <w:tc>
          <w:tcPr>
            <w:tcW w:w="0" w:type="auto"/>
            <w:vAlign w:val="center"/>
          </w:tcPr>
          <w:p w:rsidR="00DE6468" w:rsidRPr="00E324A0" w:rsidRDefault="00E324A0" w:rsidP="0086122A">
            <w:pPr>
              <w:jc w:val="center"/>
            </w:pPr>
            <w:r w:rsidRPr="00E324A0">
              <w:t>x</w:t>
            </w:r>
          </w:p>
          <w:p w:rsidR="00F100C0" w:rsidRPr="00E324A0" w:rsidRDefault="00E324A0" w:rsidP="0086122A">
            <w:pPr>
              <w:jc w:val="center"/>
            </w:pPr>
            <w:r>
              <w:t>(</w:t>
            </w:r>
            <w:r w:rsidR="00F100C0" w:rsidRPr="00E324A0">
              <w:t>p52, 64-65</w:t>
            </w:r>
            <w:r>
              <w:t>)</w:t>
            </w:r>
          </w:p>
        </w:tc>
        <w:tc>
          <w:tcPr>
            <w:tcW w:w="0" w:type="auto"/>
            <w:vAlign w:val="center"/>
          </w:tcPr>
          <w:p w:rsidR="00DE6468" w:rsidRPr="00E324A0" w:rsidRDefault="00E324A0" w:rsidP="0086122A">
            <w:pPr>
              <w:jc w:val="center"/>
            </w:pPr>
            <w:r w:rsidRPr="00E324A0">
              <w:t>x</w:t>
            </w:r>
          </w:p>
          <w:p w:rsidR="00F100C0" w:rsidRPr="00E324A0" w:rsidRDefault="00E324A0" w:rsidP="0086122A">
            <w:pPr>
              <w:jc w:val="center"/>
            </w:pPr>
            <w:r>
              <w:t>(</w:t>
            </w:r>
            <w:r w:rsidR="00F100C0" w:rsidRPr="00E324A0">
              <w:t>p52, 68-69</w:t>
            </w:r>
            <w:r>
              <w:t>)</w:t>
            </w:r>
          </w:p>
        </w:tc>
        <w:tc>
          <w:tcPr>
            <w:tcW w:w="0" w:type="auto"/>
            <w:vAlign w:val="center"/>
          </w:tcPr>
          <w:p w:rsidR="00DE6468" w:rsidRPr="00E324A0" w:rsidRDefault="00E324A0" w:rsidP="0086122A">
            <w:pPr>
              <w:jc w:val="center"/>
            </w:pPr>
            <w:r w:rsidRPr="00E324A0">
              <w:t>x</w:t>
            </w:r>
          </w:p>
          <w:p w:rsidR="00F100C0" w:rsidRPr="00E324A0" w:rsidRDefault="00E324A0" w:rsidP="0086122A">
            <w:pPr>
              <w:jc w:val="center"/>
            </w:pPr>
            <w:r>
              <w:t>(</w:t>
            </w:r>
            <w:r w:rsidR="00F100C0" w:rsidRPr="00E324A0">
              <w:t>p52, 65-66</w:t>
            </w:r>
            <w:r>
              <w:t>)</w:t>
            </w:r>
          </w:p>
        </w:tc>
        <w:tc>
          <w:tcPr>
            <w:tcW w:w="0" w:type="auto"/>
            <w:vAlign w:val="center"/>
          </w:tcPr>
          <w:p w:rsidR="00DE6468" w:rsidRPr="00E324A0" w:rsidRDefault="00DE6468" w:rsidP="0086122A">
            <w:pPr>
              <w:jc w:val="center"/>
            </w:pPr>
            <w:r w:rsidRPr="00E324A0">
              <w:t>x</w:t>
            </w:r>
          </w:p>
        </w:tc>
        <w:tc>
          <w:tcPr>
            <w:tcW w:w="0" w:type="auto"/>
            <w:vAlign w:val="center"/>
          </w:tcPr>
          <w:p w:rsidR="00DE6468" w:rsidRPr="00E324A0" w:rsidRDefault="00E324A0" w:rsidP="0086122A">
            <w:pPr>
              <w:jc w:val="center"/>
            </w:pPr>
            <w:r w:rsidRPr="00E324A0">
              <w:t>x</w:t>
            </w:r>
          </w:p>
          <w:p w:rsidR="00F100C0" w:rsidRPr="00E324A0" w:rsidRDefault="00E324A0" w:rsidP="0086122A">
            <w:pPr>
              <w:jc w:val="center"/>
            </w:pPr>
            <w:r>
              <w:t>(</w:t>
            </w:r>
            <w:r w:rsidR="00F100C0" w:rsidRPr="00E324A0">
              <w:t>p67</w:t>
            </w:r>
            <w:r>
              <w:t>)</w:t>
            </w:r>
          </w:p>
        </w:tc>
        <w:tc>
          <w:tcPr>
            <w:tcW w:w="0" w:type="auto"/>
            <w:vAlign w:val="center"/>
          </w:tcPr>
          <w:p w:rsidR="00DE6468" w:rsidRPr="00E324A0" w:rsidRDefault="00DE6468" w:rsidP="0086122A">
            <w:pPr>
              <w:jc w:val="center"/>
            </w:pPr>
          </w:p>
        </w:tc>
        <w:tc>
          <w:tcPr>
            <w:tcW w:w="0" w:type="auto"/>
            <w:vAlign w:val="center"/>
          </w:tcPr>
          <w:p w:rsidR="00DE6468" w:rsidRPr="00E324A0" w:rsidRDefault="00E324A0" w:rsidP="0086122A">
            <w:pPr>
              <w:jc w:val="center"/>
            </w:pPr>
            <w:r w:rsidRPr="00E324A0">
              <w:t>x</w:t>
            </w:r>
          </w:p>
          <w:p w:rsidR="00F100C0" w:rsidRPr="00E324A0" w:rsidRDefault="00E324A0" w:rsidP="0086122A">
            <w:pPr>
              <w:jc w:val="center"/>
            </w:pPr>
            <w:r>
              <w:t>(</w:t>
            </w:r>
            <w:r w:rsidR="00F100C0" w:rsidRPr="00E324A0">
              <w:t>p20</w:t>
            </w:r>
            <w:r>
              <w:t>)</w:t>
            </w:r>
          </w:p>
        </w:tc>
        <w:tc>
          <w:tcPr>
            <w:tcW w:w="0" w:type="auto"/>
          </w:tcPr>
          <w:p w:rsidR="00DE6468" w:rsidRPr="00E324A0" w:rsidRDefault="00DE6468" w:rsidP="0086122A">
            <w:pPr>
              <w:jc w:val="center"/>
            </w:pPr>
          </w:p>
        </w:tc>
        <w:tc>
          <w:tcPr>
            <w:tcW w:w="0" w:type="auto"/>
            <w:vAlign w:val="center"/>
          </w:tcPr>
          <w:p w:rsidR="00DE6468" w:rsidRPr="00E324A0" w:rsidRDefault="00E324A0" w:rsidP="0086122A">
            <w:pPr>
              <w:jc w:val="center"/>
            </w:pPr>
            <w:r w:rsidRPr="00E324A0">
              <w:t>x</w:t>
            </w:r>
          </w:p>
          <w:p w:rsidR="00F100C0" w:rsidRPr="00E324A0" w:rsidRDefault="00E324A0" w:rsidP="0086122A">
            <w:pPr>
              <w:jc w:val="center"/>
            </w:pPr>
            <w:r>
              <w:t>(</w:t>
            </w:r>
            <w:r w:rsidR="00F100C0" w:rsidRPr="00E324A0">
              <w:t>p55</w:t>
            </w:r>
            <w:r>
              <w:t>)</w:t>
            </w:r>
          </w:p>
        </w:tc>
      </w:tr>
      <w:tr w:rsidR="00C333F9" w:rsidTr="006D57FA">
        <w:tc>
          <w:tcPr>
            <w:tcW w:w="0" w:type="auto"/>
            <w:vAlign w:val="center"/>
          </w:tcPr>
          <w:p w:rsidR="00DE6468" w:rsidRDefault="00244DB6" w:rsidP="001C7F88">
            <w:pPr>
              <w:jc w:val="right"/>
              <w:rPr>
                <w:b/>
              </w:rPr>
            </w:pPr>
            <w:hyperlink r:id="rId41" w:history="1">
              <w:r w:rsidR="00DE6468" w:rsidRPr="00714C2A">
                <w:rPr>
                  <w:rStyle w:val="Hyperlink"/>
                  <w:b/>
                </w:rPr>
                <w:t>F</w:t>
              </w:r>
              <w:r w:rsidR="00DE6468">
                <w:rPr>
                  <w:rStyle w:val="Hyperlink"/>
                  <w:b/>
                </w:rPr>
                <w:t xml:space="preserve">t. </w:t>
              </w:r>
              <w:r w:rsidR="00DE6468" w:rsidRPr="00714C2A">
                <w:rPr>
                  <w:rStyle w:val="Hyperlink"/>
                  <w:b/>
                </w:rPr>
                <w:t>L</w:t>
              </w:r>
              <w:r w:rsidR="00DE6468">
                <w:rPr>
                  <w:rStyle w:val="Hyperlink"/>
                  <w:b/>
                </w:rPr>
                <w:t xml:space="preserve">ewis </w:t>
              </w:r>
              <w:r w:rsidR="00DE6468" w:rsidRPr="00714C2A">
                <w:rPr>
                  <w:rStyle w:val="Hyperlink"/>
                  <w:b/>
                </w:rPr>
                <w:t>C</w:t>
              </w:r>
            </w:hyperlink>
            <w:r w:rsidR="00DE6468">
              <w:rPr>
                <w:rStyle w:val="Hyperlink"/>
                <w:b/>
              </w:rPr>
              <w:t>ollege</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p>
        </w:tc>
        <w:tc>
          <w:tcPr>
            <w:tcW w:w="0" w:type="auto"/>
            <w:vAlign w:val="center"/>
          </w:tcPr>
          <w:p w:rsidR="00DE6468" w:rsidRDefault="00DE6468" w:rsidP="0086122A">
            <w:pPr>
              <w:jc w:val="center"/>
            </w:pPr>
            <w:r>
              <w:t>x</w:t>
            </w:r>
          </w:p>
        </w:tc>
        <w:tc>
          <w:tcPr>
            <w:tcW w:w="0" w:type="auto"/>
          </w:tcPr>
          <w:p w:rsidR="00DE6468" w:rsidRDefault="00DE6468" w:rsidP="0086122A">
            <w:pPr>
              <w:jc w:val="center"/>
            </w:pPr>
          </w:p>
        </w:tc>
        <w:tc>
          <w:tcPr>
            <w:tcW w:w="0" w:type="auto"/>
            <w:vAlign w:val="center"/>
          </w:tcPr>
          <w:p w:rsidR="00DE6468" w:rsidRDefault="00DE6468" w:rsidP="0086122A">
            <w:pPr>
              <w:jc w:val="center"/>
            </w:pPr>
          </w:p>
        </w:tc>
      </w:tr>
      <w:tr w:rsidR="00C333F9" w:rsidTr="006D57FA">
        <w:tc>
          <w:tcPr>
            <w:tcW w:w="0" w:type="auto"/>
            <w:vAlign w:val="center"/>
          </w:tcPr>
          <w:p w:rsidR="00DE6468" w:rsidRDefault="00244DB6" w:rsidP="001C7F88">
            <w:pPr>
              <w:jc w:val="right"/>
              <w:rPr>
                <w:b/>
              </w:rPr>
            </w:pPr>
            <w:hyperlink r:id="rId42" w:history="1">
              <w:r w:rsidR="00DE6468" w:rsidRPr="0086122A">
                <w:rPr>
                  <w:rStyle w:val="Hyperlink"/>
                  <w:b/>
                </w:rPr>
                <w:t>MSU Denver</w:t>
              </w:r>
            </w:hyperlink>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tcPr>
          <w:p w:rsidR="00DE6468" w:rsidRDefault="00DE6468" w:rsidP="0086122A">
            <w:pPr>
              <w:jc w:val="center"/>
            </w:pPr>
          </w:p>
        </w:tc>
        <w:tc>
          <w:tcPr>
            <w:tcW w:w="0" w:type="auto"/>
            <w:vAlign w:val="center"/>
          </w:tcPr>
          <w:p w:rsidR="00DE6468" w:rsidRDefault="00DE6468" w:rsidP="0086122A">
            <w:pPr>
              <w:jc w:val="center"/>
            </w:pPr>
            <w:r>
              <w:t>x</w:t>
            </w:r>
          </w:p>
        </w:tc>
      </w:tr>
      <w:tr w:rsidR="00C333F9" w:rsidTr="006D57FA">
        <w:tc>
          <w:tcPr>
            <w:tcW w:w="0" w:type="auto"/>
            <w:vAlign w:val="center"/>
          </w:tcPr>
          <w:p w:rsidR="00DE6468" w:rsidRDefault="00244DB6" w:rsidP="001C7F88">
            <w:pPr>
              <w:jc w:val="right"/>
              <w:rPr>
                <w:b/>
              </w:rPr>
            </w:pPr>
            <w:hyperlink r:id="rId43" w:history="1">
              <w:r w:rsidR="00DE6468" w:rsidRPr="00DA5760">
                <w:rPr>
                  <w:rStyle w:val="Hyperlink"/>
                  <w:b/>
                </w:rPr>
                <w:t>UC Boulder</w:t>
              </w:r>
            </w:hyperlink>
          </w:p>
        </w:tc>
        <w:tc>
          <w:tcPr>
            <w:tcW w:w="0" w:type="auto"/>
            <w:vAlign w:val="center"/>
          </w:tcPr>
          <w:p w:rsidR="00DE6468" w:rsidRDefault="00244DB6" w:rsidP="0086122A">
            <w:pPr>
              <w:jc w:val="center"/>
            </w:pPr>
            <w:hyperlink r:id="rId44" w:history="1">
              <w:r w:rsidR="00DE6468" w:rsidRPr="00DB177F">
                <w:rPr>
                  <w:rStyle w:val="Hyperlink"/>
                </w:rPr>
                <w:t>x</w:t>
              </w:r>
            </w:hyperlink>
          </w:p>
        </w:tc>
        <w:tc>
          <w:tcPr>
            <w:tcW w:w="0" w:type="auto"/>
            <w:vAlign w:val="center"/>
          </w:tcPr>
          <w:p w:rsidR="00DE6468" w:rsidRDefault="00244DB6" w:rsidP="0086122A">
            <w:pPr>
              <w:jc w:val="center"/>
            </w:pPr>
            <w:hyperlink r:id="rId45" w:history="1">
              <w:r w:rsidR="00DE6468" w:rsidRPr="00DB177F">
                <w:rPr>
                  <w:rStyle w:val="Hyperlink"/>
                </w:rPr>
                <w:t>x</w:t>
              </w:r>
            </w:hyperlink>
          </w:p>
        </w:tc>
        <w:tc>
          <w:tcPr>
            <w:tcW w:w="0" w:type="auto"/>
            <w:vAlign w:val="center"/>
          </w:tcPr>
          <w:p w:rsidR="00DE6468" w:rsidRDefault="00244DB6" w:rsidP="0086122A">
            <w:pPr>
              <w:jc w:val="center"/>
            </w:pPr>
            <w:hyperlink r:id="rId46" w:history="1">
              <w:r w:rsidR="00DE6468" w:rsidRPr="00DB177F">
                <w:rPr>
                  <w:rStyle w:val="Hyperlink"/>
                </w:rPr>
                <w:t>x</w:t>
              </w:r>
            </w:hyperlink>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p>
        </w:tc>
        <w:tc>
          <w:tcPr>
            <w:tcW w:w="0" w:type="auto"/>
            <w:vAlign w:val="center"/>
          </w:tcPr>
          <w:p w:rsidR="00DE6468" w:rsidRDefault="00DE6468" w:rsidP="0086122A">
            <w:pPr>
              <w:jc w:val="center"/>
            </w:pPr>
          </w:p>
        </w:tc>
        <w:tc>
          <w:tcPr>
            <w:tcW w:w="0" w:type="auto"/>
            <w:vAlign w:val="center"/>
          </w:tcPr>
          <w:p w:rsidR="00DE6468" w:rsidRDefault="00DE6468" w:rsidP="0086122A">
            <w:pPr>
              <w:jc w:val="center"/>
            </w:pPr>
            <w:r>
              <w:t>x</w:t>
            </w:r>
          </w:p>
        </w:tc>
        <w:tc>
          <w:tcPr>
            <w:tcW w:w="0" w:type="auto"/>
          </w:tcPr>
          <w:p w:rsidR="00DE6468" w:rsidRDefault="00244DB6" w:rsidP="0086122A">
            <w:pPr>
              <w:jc w:val="center"/>
            </w:pPr>
            <w:hyperlink r:id="rId47" w:history="1">
              <w:r w:rsidR="00DE6468" w:rsidRPr="006D57FA">
                <w:rPr>
                  <w:rStyle w:val="Hyperlink"/>
                </w:rPr>
                <w:t>x</w:t>
              </w:r>
            </w:hyperlink>
          </w:p>
        </w:tc>
        <w:tc>
          <w:tcPr>
            <w:tcW w:w="0" w:type="auto"/>
            <w:vAlign w:val="center"/>
          </w:tcPr>
          <w:p w:rsidR="00DE6468" w:rsidRDefault="00DE6468" w:rsidP="0086122A">
            <w:pPr>
              <w:jc w:val="center"/>
            </w:pPr>
          </w:p>
        </w:tc>
      </w:tr>
      <w:tr w:rsidR="00C333F9" w:rsidTr="006D57FA">
        <w:tc>
          <w:tcPr>
            <w:tcW w:w="0" w:type="auto"/>
            <w:vAlign w:val="center"/>
          </w:tcPr>
          <w:p w:rsidR="00DE6468" w:rsidRDefault="00244DB6" w:rsidP="001C7F88">
            <w:pPr>
              <w:jc w:val="right"/>
              <w:rPr>
                <w:b/>
              </w:rPr>
            </w:pPr>
            <w:hyperlink r:id="rId48" w:history="1">
              <w:r w:rsidR="00DE6468" w:rsidRPr="00DA5760">
                <w:rPr>
                  <w:rStyle w:val="Hyperlink"/>
                  <w:b/>
                </w:rPr>
                <w:t>UC Colo. Springs</w:t>
              </w:r>
            </w:hyperlink>
          </w:p>
        </w:tc>
        <w:tc>
          <w:tcPr>
            <w:tcW w:w="0" w:type="auto"/>
            <w:vAlign w:val="center"/>
          </w:tcPr>
          <w:p w:rsidR="00DE6468" w:rsidRDefault="00244DB6" w:rsidP="0086122A">
            <w:pPr>
              <w:jc w:val="center"/>
            </w:pPr>
            <w:hyperlink r:id="rId49" w:history="1">
              <w:r w:rsidR="00DE6468" w:rsidRPr="007C394E">
                <w:rPr>
                  <w:rStyle w:val="Hyperlink"/>
                </w:rPr>
                <w:t>x</w:t>
              </w:r>
            </w:hyperlink>
          </w:p>
        </w:tc>
        <w:tc>
          <w:tcPr>
            <w:tcW w:w="0" w:type="auto"/>
            <w:vAlign w:val="center"/>
          </w:tcPr>
          <w:p w:rsidR="00DE6468" w:rsidRDefault="00244DB6" w:rsidP="0086122A">
            <w:pPr>
              <w:jc w:val="center"/>
            </w:pPr>
            <w:hyperlink r:id="rId50" w:history="1">
              <w:r w:rsidR="00DE6468" w:rsidRPr="007C394E">
                <w:rPr>
                  <w:rStyle w:val="Hyperlink"/>
                </w:rPr>
                <w:t>x</w:t>
              </w:r>
            </w:hyperlink>
          </w:p>
        </w:tc>
        <w:tc>
          <w:tcPr>
            <w:tcW w:w="0" w:type="auto"/>
            <w:vAlign w:val="center"/>
          </w:tcPr>
          <w:p w:rsidR="00DE6468" w:rsidRDefault="00244DB6" w:rsidP="0086122A">
            <w:pPr>
              <w:jc w:val="center"/>
            </w:pPr>
            <w:hyperlink r:id="rId51" w:history="1">
              <w:r w:rsidR="00DE6468" w:rsidRPr="007C394E">
                <w:rPr>
                  <w:rStyle w:val="Hyperlink"/>
                </w:rPr>
                <w:t>x</w:t>
              </w:r>
            </w:hyperlink>
          </w:p>
        </w:tc>
        <w:tc>
          <w:tcPr>
            <w:tcW w:w="0" w:type="auto"/>
            <w:vAlign w:val="center"/>
          </w:tcPr>
          <w:p w:rsidR="00DE6468" w:rsidRDefault="00244DB6" w:rsidP="0086122A">
            <w:pPr>
              <w:jc w:val="center"/>
            </w:pPr>
            <w:hyperlink r:id="rId52" w:history="1">
              <w:r w:rsidR="00DE6468" w:rsidRPr="007C394E">
                <w:rPr>
                  <w:rStyle w:val="Hyperlink"/>
                </w:rPr>
                <w:t>x</w:t>
              </w:r>
            </w:hyperlink>
          </w:p>
        </w:tc>
        <w:tc>
          <w:tcPr>
            <w:tcW w:w="0" w:type="auto"/>
            <w:vAlign w:val="center"/>
          </w:tcPr>
          <w:p w:rsidR="00DE6468" w:rsidRDefault="00244DB6" w:rsidP="0086122A">
            <w:pPr>
              <w:jc w:val="center"/>
            </w:pPr>
            <w:hyperlink r:id="rId53" w:history="1">
              <w:r w:rsidR="00DE6468" w:rsidRPr="007C394E">
                <w:rPr>
                  <w:rStyle w:val="Hyperlink"/>
                </w:rPr>
                <w:t>x</w:t>
              </w:r>
            </w:hyperlink>
          </w:p>
        </w:tc>
        <w:tc>
          <w:tcPr>
            <w:tcW w:w="0" w:type="auto"/>
            <w:vAlign w:val="center"/>
          </w:tcPr>
          <w:p w:rsidR="00DE6468" w:rsidRDefault="00DE6468" w:rsidP="0086122A">
            <w:pPr>
              <w:jc w:val="center"/>
            </w:pPr>
          </w:p>
        </w:tc>
        <w:tc>
          <w:tcPr>
            <w:tcW w:w="0" w:type="auto"/>
            <w:vAlign w:val="center"/>
          </w:tcPr>
          <w:p w:rsidR="00DE6468" w:rsidRDefault="00244DB6" w:rsidP="0086122A">
            <w:pPr>
              <w:jc w:val="center"/>
            </w:pPr>
            <w:hyperlink r:id="rId54" w:history="1">
              <w:r w:rsidR="00DE6468" w:rsidRPr="007C394E">
                <w:rPr>
                  <w:rStyle w:val="Hyperlink"/>
                </w:rPr>
                <w:t>x</w:t>
              </w:r>
            </w:hyperlink>
          </w:p>
        </w:tc>
        <w:tc>
          <w:tcPr>
            <w:tcW w:w="0" w:type="auto"/>
          </w:tcPr>
          <w:p w:rsidR="00DE6468" w:rsidRDefault="00DE6468" w:rsidP="0086122A">
            <w:pPr>
              <w:jc w:val="center"/>
            </w:pPr>
          </w:p>
        </w:tc>
        <w:tc>
          <w:tcPr>
            <w:tcW w:w="0" w:type="auto"/>
            <w:vAlign w:val="center"/>
          </w:tcPr>
          <w:p w:rsidR="00DE6468" w:rsidRDefault="00DE6468" w:rsidP="0086122A">
            <w:pPr>
              <w:jc w:val="center"/>
            </w:pPr>
          </w:p>
        </w:tc>
      </w:tr>
      <w:tr w:rsidR="00C333F9" w:rsidTr="006D57FA">
        <w:tc>
          <w:tcPr>
            <w:tcW w:w="0" w:type="auto"/>
            <w:vAlign w:val="center"/>
          </w:tcPr>
          <w:p w:rsidR="00DE6468" w:rsidRDefault="00244DB6" w:rsidP="001C7F88">
            <w:pPr>
              <w:jc w:val="right"/>
              <w:rPr>
                <w:b/>
              </w:rPr>
            </w:pPr>
            <w:hyperlink r:id="rId55" w:history="1">
              <w:r w:rsidR="00DE6468" w:rsidRPr="00DA5760">
                <w:rPr>
                  <w:rStyle w:val="Hyperlink"/>
                  <w:b/>
                </w:rPr>
                <w:t>UC Denver</w:t>
              </w:r>
            </w:hyperlink>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p>
        </w:tc>
        <w:tc>
          <w:tcPr>
            <w:tcW w:w="0" w:type="auto"/>
            <w:vAlign w:val="center"/>
          </w:tcPr>
          <w:p w:rsidR="00DE6468" w:rsidRDefault="00DE6468" w:rsidP="0086122A">
            <w:pPr>
              <w:jc w:val="center"/>
            </w:pPr>
            <w:r>
              <w:t>x</w:t>
            </w:r>
          </w:p>
        </w:tc>
        <w:tc>
          <w:tcPr>
            <w:tcW w:w="0" w:type="auto"/>
          </w:tcPr>
          <w:p w:rsidR="00DE6468" w:rsidRDefault="00DE6468" w:rsidP="0086122A">
            <w:pPr>
              <w:jc w:val="center"/>
            </w:pPr>
          </w:p>
        </w:tc>
        <w:tc>
          <w:tcPr>
            <w:tcW w:w="0" w:type="auto"/>
            <w:vAlign w:val="center"/>
          </w:tcPr>
          <w:p w:rsidR="00DE6468" w:rsidRPr="00DA5760" w:rsidRDefault="00244DB6" w:rsidP="0086122A">
            <w:pPr>
              <w:jc w:val="center"/>
              <w:rPr>
                <w:sz w:val="16"/>
                <w:szCs w:val="16"/>
              </w:rPr>
            </w:pPr>
            <w:hyperlink r:id="rId56" w:history="1">
              <w:r w:rsidR="00DE6468" w:rsidRPr="00DA5760">
                <w:rPr>
                  <w:rStyle w:val="Hyperlink"/>
                  <w:sz w:val="16"/>
                  <w:szCs w:val="16"/>
                </w:rPr>
                <w:t>X</w:t>
              </w:r>
            </w:hyperlink>
          </w:p>
          <w:p w:rsidR="00DE6468" w:rsidRDefault="00DE6468" w:rsidP="00DA5760">
            <w:pPr>
              <w:jc w:val="center"/>
            </w:pPr>
            <w:r>
              <w:rPr>
                <w:sz w:val="20"/>
                <w:szCs w:val="20"/>
              </w:rPr>
              <w:t>p</w:t>
            </w:r>
            <w:r w:rsidRPr="00DA5760">
              <w:rPr>
                <w:sz w:val="20"/>
                <w:szCs w:val="20"/>
              </w:rPr>
              <w:t>harm</w:t>
            </w:r>
            <w:r>
              <w:rPr>
                <w:sz w:val="20"/>
                <w:szCs w:val="20"/>
              </w:rPr>
              <w:t>acy</w:t>
            </w:r>
            <w:r w:rsidRPr="00DA5760">
              <w:rPr>
                <w:sz w:val="20"/>
                <w:szCs w:val="20"/>
              </w:rPr>
              <w:t xml:space="preserve"> </w:t>
            </w:r>
            <w:r>
              <w:rPr>
                <w:sz w:val="20"/>
                <w:szCs w:val="20"/>
              </w:rPr>
              <w:t xml:space="preserve">grad program </w:t>
            </w:r>
            <w:r w:rsidRPr="00DA5760">
              <w:rPr>
                <w:sz w:val="20"/>
                <w:szCs w:val="20"/>
              </w:rPr>
              <w:t>only</w:t>
            </w:r>
          </w:p>
        </w:tc>
      </w:tr>
      <w:tr w:rsidR="00C333F9" w:rsidTr="006D57FA">
        <w:tc>
          <w:tcPr>
            <w:tcW w:w="0" w:type="auto"/>
            <w:vAlign w:val="center"/>
          </w:tcPr>
          <w:p w:rsidR="00DE6468" w:rsidRDefault="00244DB6" w:rsidP="0045237B">
            <w:pPr>
              <w:jc w:val="right"/>
              <w:rPr>
                <w:b/>
              </w:rPr>
            </w:pPr>
            <w:hyperlink r:id="rId57" w:history="1">
              <w:r w:rsidR="00DE6468" w:rsidRPr="00A424C8">
                <w:rPr>
                  <w:rStyle w:val="Hyperlink"/>
                  <w:b/>
                </w:rPr>
                <w:t>U</w:t>
              </w:r>
              <w:r w:rsidR="00DE6468">
                <w:rPr>
                  <w:rStyle w:val="Hyperlink"/>
                  <w:b/>
                </w:rPr>
                <w:t>.</w:t>
              </w:r>
              <w:r w:rsidR="00DE6468" w:rsidRPr="00A424C8">
                <w:rPr>
                  <w:rStyle w:val="Hyperlink"/>
                  <w:b/>
                </w:rPr>
                <w:t xml:space="preserve"> Northern Colorado</w:t>
              </w:r>
            </w:hyperlink>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244DB6" w:rsidP="0086122A">
            <w:pPr>
              <w:jc w:val="center"/>
            </w:pPr>
            <w:hyperlink r:id="rId58" w:history="1">
              <w:r w:rsidR="00DE6468" w:rsidRPr="00A424C8">
                <w:rPr>
                  <w:rStyle w:val="Hyperlink"/>
                </w:rPr>
                <w:t>x</w:t>
              </w:r>
            </w:hyperlink>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vAlign w:val="center"/>
          </w:tcPr>
          <w:p w:rsidR="00DE6468" w:rsidRDefault="00DE6468" w:rsidP="0086122A">
            <w:pPr>
              <w:jc w:val="center"/>
            </w:pPr>
            <w:r>
              <w:t>x</w:t>
            </w:r>
          </w:p>
        </w:tc>
        <w:tc>
          <w:tcPr>
            <w:tcW w:w="0" w:type="auto"/>
          </w:tcPr>
          <w:p w:rsidR="00DE6468" w:rsidRDefault="00DE6468" w:rsidP="0086122A">
            <w:pPr>
              <w:jc w:val="center"/>
            </w:pPr>
          </w:p>
        </w:tc>
        <w:tc>
          <w:tcPr>
            <w:tcW w:w="0" w:type="auto"/>
            <w:vAlign w:val="center"/>
          </w:tcPr>
          <w:p w:rsidR="00DE6468" w:rsidRDefault="00DE6468" w:rsidP="0086122A">
            <w:pPr>
              <w:jc w:val="center"/>
            </w:pPr>
          </w:p>
        </w:tc>
      </w:tr>
      <w:tr w:rsidR="00C333F9" w:rsidTr="006D57FA">
        <w:tc>
          <w:tcPr>
            <w:tcW w:w="0" w:type="auto"/>
            <w:vAlign w:val="center"/>
          </w:tcPr>
          <w:p w:rsidR="00DE6468" w:rsidRDefault="00244DB6" w:rsidP="001C7F88">
            <w:pPr>
              <w:jc w:val="right"/>
              <w:rPr>
                <w:b/>
              </w:rPr>
            </w:pPr>
            <w:hyperlink r:id="rId59" w:history="1">
              <w:r w:rsidR="00DE6468" w:rsidRPr="008B61F4">
                <w:rPr>
                  <w:rStyle w:val="Hyperlink"/>
                  <w:b/>
                </w:rPr>
                <w:t>Western State Colo. U</w:t>
              </w:r>
            </w:hyperlink>
          </w:p>
        </w:tc>
        <w:tc>
          <w:tcPr>
            <w:tcW w:w="0" w:type="auto"/>
            <w:vAlign w:val="center"/>
          </w:tcPr>
          <w:p w:rsidR="00DE6468" w:rsidRDefault="008B61F4" w:rsidP="0086122A">
            <w:pPr>
              <w:jc w:val="center"/>
            </w:pPr>
            <w:r>
              <w:t>x</w:t>
            </w:r>
          </w:p>
        </w:tc>
        <w:tc>
          <w:tcPr>
            <w:tcW w:w="0" w:type="auto"/>
            <w:vAlign w:val="center"/>
          </w:tcPr>
          <w:p w:rsidR="00DE6468" w:rsidRDefault="008B61F4" w:rsidP="0086122A">
            <w:pPr>
              <w:jc w:val="center"/>
            </w:pPr>
            <w:r>
              <w:t>x</w:t>
            </w:r>
          </w:p>
        </w:tc>
        <w:tc>
          <w:tcPr>
            <w:tcW w:w="0" w:type="auto"/>
            <w:vAlign w:val="center"/>
          </w:tcPr>
          <w:p w:rsidR="00DE6468" w:rsidRDefault="00244DB6" w:rsidP="0086122A">
            <w:pPr>
              <w:jc w:val="center"/>
            </w:pPr>
            <w:hyperlink r:id="rId60" w:history="1">
              <w:r w:rsidR="008B61F4" w:rsidRPr="005369B3">
                <w:rPr>
                  <w:rStyle w:val="Hyperlink"/>
                </w:rPr>
                <w:t>x</w:t>
              </w:r>
            </w:hyperlink>
          </w:p>
        </w:tc>
        <w:tc>
          <w:tcPr>
            <w:tcW w:w="0" w:type="auto"/>
            <w:vAlign w:val="center"/>
          </w:tcPr>
          <w:p w:rsidR="00DE6468" w:rsidRDefault="005369B3" w:rsidP="0086122A">
            <w:pPr>
              <w:jc w:val="center"/>
            </w:pPr>
            <w:r>
              <w:t>x</w:t>
            </w:r>
          </w:p>
        </w:tc>
        <w:tc>
          <w:tcPr>
            <w:tcW w:w="0" w:type="auto"/>
            <w:vAlign w:val="center"/>
          </w:tcPr>
          <w:p w:rsidR="00DE6468" w:rsidRDefault="00DE6468" w:rsidP="0086122A">
            <w:pPr>
              <w:jc w:val="center"/>
            </w:pPr>
          </w:p>
        </w:tc>
        <w:tc>
          <w:tcPr>
            <w:tcW w:w="0" w:type="auto"/>
            <w:vAlign w:val="center"/>
          </w:tcPr>
          <w:p w:rsidR="00DE6468" w:rsidRDefault="00DE6468" w:rsidP="0086122A">
            <w:pPr>
              <w:jc w:val="center"/>
            </w:pPr>
          </w:p>
        </w:tc>
        <w:tc>
          <w:tcPr>
            <w:tcW w:w="0" w:type="auto"/>
            <w:vAlign w:val="center"/>
          </w:tcPr>
          <w:p w:rsidR="00DE6468" w:rsidRDefault="00C333F9" w:rsidP="0086122A">
            <w:pPr>
              <w:jc w:val="center"/>
            </w:pPr>
            <w:r>
              <w:t>x</w:t>
            </w:r>
          </w:p>
        </w:tc>
        <w:tc>
          <w:tcPr>
            <w:tcW w:w="0" w:type="auto"/>
          </w:tcPr>
          <w:p w:rsidR="00DE6468" w:rsidRDefault="00DE6468" w:rsidP="0086122A">
            <w:pPr>
              <w:jc w:val="center"/>
            </w:pPr>
          </w:p>
        </w:tc>
        <w:tc>
          <w:tcPr>
            <w:tcW w:w="0" w:type="auto"/>
            <w:vAlign w:val="center"/>
          </w:tcPr>
          <w:p w:rsidR="00DE6468" w:rsidRDefault="00DE6468" w:rsidP="0086122A">
            <w:pPr>
              <w:jc w:val="center"/>
            </w:pPr>
          </w:p>
        </w:tc>
      </w:tr>
    </w:tbl>
    <w:p w:rsidR="00B57C75" w:rsidRDefault="00B57C75">
      <w:pPr>
        <w:rPr>
          <w:sz w:val="24"/>
        </w:rPr>
      </w:pPr>
    </w:p>
    <w:p w:rsidR="000945EC" w:rsidRDefault="000945EC" w:rsidP="000945EC">
      <w:pPr>
        <w:jc w:val="both"/>
        <w:outlineLvl w:val="0"/>
        <w:rPr>
          <w:sz w:val="24"/>
        </w:rPr>
      </w:pPr>
    </w:p>
    <w:p w:rsidR="000945EC" w:rsidRDefault="000945EC" w:rsidP="000945EC">
      <w:pPr>
        <w:jc w:val="both"/>
        <w:outlineLvl w:val="0"/>
        <w:rPr>
          <w:sz w:val="24"/>
        </w:rPr>
      </w:pPr>
    </w:p>
    <w:p w:rsidR="00346CB6" w:rsidRDefault="00346CB6">
      <w:pPr>
        <w:rPr>
          <w:sz w:val="24"/>
        </w:rPr>
      </w:pPr>
      <w:r>
        <w:rPr>
          <w:sz w:val="24"/>
        </w:rPr>
        <w:br w:type="page"/>
      </w:r>
    </w:p>
    <w:p w:rsidR="00346CB6" w:rsidRPr="00B23798" w:rsidRDefault="00B23798" w:rsidP="00346CB6">
      <w:pPr>
        <w:jc w:val="center"/>
        <w:rPr>
          <w:b/>
          <w:sz w:val="24"/>
        </w:rPr>
      </w:pPr>
      <w:r w:rsidRPr="00B23798">
        <w:rPr>
          <w:b/>
          <w:sz w:val="24"/>
        </w:rPr>
        <w:lastRenderedPageBreak/>
        <w:t>Appendix B</w:t>
      </w:r>
      <w:r w:rsidR="00346CB6" w:rsidRPr="00B23798">
        <w:rPr>
          <w:b/>
          <w:sz w:val="24"/>
        </w:rPr>
        <w:t>: Other States’ PLA Policies &amp; Cut Scores</w:t>
      </w:r>
    </w:p>
    <w:p w:rsidR="00346CB6" w:rsidRDefault="00346CB6" w:rsidP="00346CB6">
      <w:pPr>
        <w:rPr>
          <w:b/>
        </w:rPr>
      </w:pPr>
      <w:r>
        <w:rPr>
          <w:b/>
        </w:rPr>
        <w:t>Key:</w:t>
      </w:r>
    </w:p>
    <w:p w:rsidR="00346CB6" w:rsidRDefault="00346CB6" w:rsidP="00346CB6">
      <w:r w:rsidRPr="00346CB6">
        <w:rPr>
          <w:color w:val="3333FF"/>
          <w:u w:val="single"/>
        </w:rPr>
        <w:t>Underlined text</w:t>
      </w:r>
      <w:r>
        <w:rPr>
          <w:u w:val="single"/>
        </w:rPr>
        <w:t xml:space="preserve"> </w:t>
      </w:r>
      <w:r>
        <w:t>is a hyperlink to that state’s laws, policies and other pertinent information.</w:t>
      </w:r>
    </w:p>
    <w:p w:rsidR="00346CB6" w:rsidRDefault="00346CB6" w:rsidP="00346CB6">
      <w:pPr>
        <w:rPr>
          <w:color w:val="FF0000"/>
        </w:rPr>
      </w:pPr>
      <w:r>
        <w:rPr>
          <w:color w:val="FF0000"/>
        </w:rPr>
        <w:t>Red font is an explanation of how PLA credit must be applied to students’ degree programs.</w:t>
      </w:r>
    </w:p>
    <w:p w:rsidR="00346CB6" w:rsidRPr="00346CB6" w:rsidRDefault="00346CB6" w:rsidP="00346CB6">
      <w:pPr>
        <w:rPr>
          <w:color w:val="FF0000"/>
        </w:rPr>
      </w:pPr>
    </w:p>
    <w:tbl>
      <w:tblPr>
        <w:tblStyle w:val="TableGrid"/>
        <w:tblW w:w="0" w:type="auto"/>
        <w:tblLook w:val="04A0" w:firstRow="1" w:lastRow="0" w:firstColumn="1" w:lastColumn="0" w:noHBand="0" w:noVBand="1"/>
      </w:tblPr>
      <w:tblGrid>
        <w:gridCol w:w="1488"/>
        <w:gridCol w:w="2051"/>
        <w:gridCol w:w="1812"/>
        <w:gridCol w:w="1854"/>
        <w:gridCol w:w="1243"/>
        <w:gridCol w:w="1047"/>
        <w:gridCol w:w="1243"/>
        <w:gridCol w:w="1780"/>
        <w:gridCol w:w="1378"/>
      </w:tblGrid>
      <w:tr w:rsidR="007308DC" w:rsidTr="00915208">
        <w:trPr>
          <w:tblHeader/>
        </w:trPr>
        <w:tc>
          <w:tcPr>
            <w:tcW w:w="0" w:type="auto"/>
            <w:shd w:val="pct5" w:color="EEECE1" w:themeColor="background2" w:fill="EEECE1" w:themeFill="background2"/>
            <w:vAlign w:val="bottom"/>
          </w:tcPr>
          <w:p w:rsidR="00346CB6" w:rsidRPr="00DE7070" w:rsidRDefault="00346CB6" w:rsidP="001C7F88">
            <w:pPr>
              <w:pStyle w:val="NoSpacing"/>
              <w:jc w:val="center"/>
              <w:rPr>
                <w:b/>
              </w:rPr>
            </w:pPr>
            <w:r w:rsidRPr="00DE7070">
              <w:rPr>
                <w:b/>
              </w:rPr>
              <w:t>State</w:t>
            </w:r>
            <w:r>
              <w:rPr>
                <w:b/>
              </w:rPr>
              <w:t>/System</w:t>
            </w:r>
          </w:p>
        </w:tc>
        <w:tc>
          <w:tcPr>
            <w:tcW w:w="2047" w:type="dxa"/>
            <w:shd w:val="pct5" w:color="EEECE1" w:themeColor="background2" w:fill="EEECE1" w:themeFill="background2"/>
            <w:vAlign w:val="bottom"/>
          </w:tcPr>
          <w:p w:rsidR="00346CB6" w:rsidRPr="00DE7070" w:rsidRDefault="00346CB6" w:rsidP="001C7F88">
            <w:pPr>
              <w:pStyle w:val="NoSpacing"/>
              <w:jc w:val="center"/>
              <w:rPr>
                <w:b/>
              </w:rPr>
            </w:pPr>
            <w:r w:rsidRPr="00DE7070">
              <w:rPr>
                <w:b/>
              </w:rPr>
              <w:t>AP</w:t>
            </w:r>
            <w:r>
              <w:rPr>
                <w:b/>
              </w:rPr>
              <w:t xml:space="preserve"> minimum score(s)</w:t>
            </w:r>
          </w:p>
        </w:tc>
        <w:tc>
          <w:tcPr>
            <w:tcW w:w="1816" w:type="dxa"/>
            <w:shd w:val="pct5" w:color="EEECE1" w:themeColor="background2" w:fill="EEECE1" w:themeFill="background2"/>
            <w:vAlign w:val="bottom"/>
          </w:tcPr>
          <w:p w:rsidR="00346CB6" w:rsidRPr="00DE7070" w:rsidRDefault="00346CB6" w:rsidP="001C7F88">
            <w:pPr>
              <w:pStyle w:val="NoSpacing"/>
              <w:jc w:val="center"/>
              <w:rPr>
                <w:b/>
              </w:rPr>
            </w:pPr>
            <w:r w:rsidRPr="00DE7070">
              <w:rPr>
                <w:b/>
              </w:rPr>
              <w:t>IB</w:t>
            </w:r>
            <w:r>
              <w:rPr>
                <w:b/>
              </w:rPr>
              <w:t xml:space="preserve"> minimum score(s)</w:t>
            </w:r>
          </w:p>
        </w:tc>
        <w:tc>
          <w:tcPr>
            <w:tcW w:w="0" w:type="auto"/>
            <w:shd w:val="pct5" w:color="EEECE1" w:themeColor="background2" w:fill="EEECE1" w:themeFill="background2"/>
            <w:vAlign w:val="bottom"/>
          </w:tcPr>
          <w:p w:rsidR="00346CB6" w:rsidRPr="00DE7070" w:rsidRDefault="00346CB6" w:rsidP="001C7F88">
            <w:pPr>
              <w:pStyle w:val="NoSpacing"/>
              <w:jc w:val="center"/>
              <w:rPr>
                <w:b/>
              </w:rPr>
            </w:pPr>
            <w:r w:rsidRPr="00DE7070">
              <w:rPr>
                <w:b/>
              </w:rPr>
              <w:t>CLEP</w:t>
            </w:r>
            <w:r>
              <w:rPr>
                <w:b/>
              </w:rPr>
              <w:t xml:space="preserve"> minimum score(s)</w:t>
            </w:r>
          </w:p>
        </w:tc>
        <w:tc>
          <w:tcPr>
            <w:tcW w:w="0" w:type="auto"/>
            <w:shd w:val="pct5" w:color="EEECE1" w:themeColor="background2" w:fill="EEECE1" w:themeFill="background2"/>
            <w:vAlign w:val="bottom"/>
          </w:tcPr>
          <w:p w:rsidR="00346CB6" w:rsidRPr="00DE7070" w:rsidRDefault="00346CB6" w:rsidP="001C7F88">
            <w:pPr>
              <w:pStyle w:val="NoSpacing"/>
              <w:jc w:val="center"/>
              <w:rPr>
                <w:b/>
              </w:rPr>
            </w:pPr>
            <w:r w:rsidRPr="00DE7070">
              <w:rPr>
                <w:b/>
              </w:rPr>
              <w:t>Challenge Exams</w:t>
            </w:r>
          </w:p>
        </w:tc>
        <w:tc>
          <w:tcPr>
            <w:tcW w:w="0" w:type="auto"/>
            <w:shd w:val="pct5" w:color="EEECE1" w:themeColor="background2" w:fill="EEECE1" w:themeFill="background2"/>
            <w:vAlign w:val="bottom"/>
          </w:tcPr>
          <w:p w:rsidR="00346CB6" w:rsidRPr="00DE7070" w:rsidRDefault="00346CB6" w:rsidP="001C7F88">
            <w:pPr>
              <w:pStyle w:val="NoSpacing"/>
              <w:jc w:val="center"/>
              <w:rPr>
                <w:b/>
              </w:rPr>
            </w:pPr>
            <w:r w:rsidRPr="00DE7070">
              <w:rPr>
                <w:b/>
              </w:rPr>
              <w:t>DSST</w:t>
            </w:r>
          </w:p>
        </w:tc>
        <w:tc>
          <w:tcPr>
            <w:tcW w:w="0" w:type="auto"/>
            <w:shd w:val="pct5" w:color="EEECE1" w:themeColor="background2" w:fill="EEECE1" w:themeFill="background2"/>
            <w:vAlign w:val="bottom"/>
          </w:tcPr>
          <w:p w:rsidR="00346CB6" w:rsidRPr="00DE7070" w:rsidRDefault="00346CB6" w:rsidP="001C7F88">
            <w:pPr>
              <w:pStyle w:val="NoSpacing"/>
              <w:jc w:val="center"/>
              <w:rPr>
                <w:b/>
              </w:rPr>
            </w:pPr>
            <w:r w:rsidRPr="00DE7070">
              <w:rPr>
                <w:b/>
              </w:rPr>
              <w:t>ACE-Workforce Credit</w:t>
            </w:r>
          </w:p>
        </w:tc>
        <w:tc>
          <w:tcPr>
            <w:tcW w:w="0" w:type="auto"/>
            <w:shd w:val="pct5" w:color="EEECE1" w:themeColor="background2" w:fill="EEECE1" w:themeFill="background2"/>
            <w:vAlign w:val="bottom"/>
          </w:tcPr>
          <w:p w:rsidR="00346CB6" w:rsidRPr="00DE7070" w:rsidRDefault="00346CB6" w:rsidP="001C7F88">
            <w:pPr>
              <w:pStyle w:val="NoSpacing"/>
              <w:jc w:val="center"/>
              <w:rPr>
                <w:b/>
              </w:rPr>
            </w:pPr>
            <w:r w:rsidRPr="00DE7070">
              <w:rPr>
                <w:b/>
              </w:rPr>
              <w:t>ACE – Military Credit</w:t>
            </w:r>
          </w:p>
        </w:tc>
        <w:tc>
          <w:tcPr>
            <w:tcW w:w="0" w:type="auto"/>
            <w:shd w:val="pct5" w:color="EEECE1" w:themeColor="background2" w:fill="EEECE1" w:themeFill="background2"/>
            <w:vAlign w:val="bottom"/>
          </w:tcPr>
          <w:p w:rsidR="00346CB6" w:rsidRPr="00DE7070" w:rsidRDefault="00346CB6" w:rsidP="001C7F88">
            <w:pPr>
              <w:pStyle w:val="NoSpacing"/>
              <w:jc w:val="center"/>
              <w:rPr>
                <w:b/>
              </w:rPr>
            </w:pPr>
            <w:r w:rsidRPr="00DE7070">
              <w:rPr>
                <w:b/>
              </w:rPr>
              <w:t>Portfolio-Based</w:t>
            </w:r>
          </w:p>
          <w:p w:rsidR="00346CB6" w:rsidRPr="00DE7070" w:rsidRDefault="00346CB6" w:rsidP="001C7F88">
            <w:pPr>
              <w:pStyle w:val="NoSpacing"/>
              <w:jc w:val="center"/>
              <w:rPr>
                <w:b/>
              </w:rPr>
            </w:pPr>
            <w:r w:rsidRPr="00DE7070">
              <w:rPr>
                <w:b/>
              </w:rPr>
              <w:t>Assessments</w:t>
            </w:r>
          </w:p>
        </w:tc>
      </w:tr>
      <w:tr w:rsidR="007308DC" w:rsidTr="00915208">
        <w:tc>
          <w:tcPr>
            <w:tcW w:w="0" w:type="auto"/>
            <w:vAlign w:val="center"/>
          </w:tcPr>
          <w:p w:rsidR="007308DC" w:rsidRPr="001C7F88" w:rsidRDefault="007308DC" w:rsidP="001C7F88">
            <w:pPr>
              <w:jc w:val="right"/>
              <w:rPr>
                <w:b/>
              </w:rPr>
            </w:pPr>
            <w:r w:rsidRPr="001C7F88">
              <w:rPr>
                <w:b/>
              </w:rPr>
              <w:t>Alabama</w:t>
            </w:r>
          </w:p>
        </w:tc>
        <w:tc>
          <w:tcPr>
            <w:tcW w:w="2047" w:type="dxa"/>
            <w:vAlign w:val="center"/>
          </w:tcPr>
          <w:p w:rsidR="007308DC" w:rsidRDefault="007308DC" w:rsidP="007308DC">
            <w:pPr>
              <w:jc w:val="center"/>
            </w:pPr>
            <w:r w:rsidRPr="003835B0">
              <w:t>3</w:t>
            </w:r>
          </w:p>
        </w:tc>
        <w:tc>
          <w:tcPr>
            <w:tcW w:w="10361" w:type="dxa"/>
            <w:gridSpan w:val="7"/>
            <w:vAlign w:val="center"/>
          </w:tcPr>
          <w:p w:rsidR="007308DC" w:rsidRDefault="007308DC" w:rsidP="007308DC">
            <w:r w:rsidRPr="007308DC">
              <w:t>Legislation provides guidelines for</w:t>
            </w:r>
            <w:r>
              <w:t xml:space="preserve"> various forms of</w:t>
            </w:r>
            <w:r w:rsidRPr="007308DC">
              <w:t xml:space="preserve"> PLA</w:t>
            </w:r>
            <w:r>
              <w:t>.</w:t>
            </w:r>
          </w:p>
        </w:tc>
      </w:tr>
      <w:tr w:rsidR="00346CB6" w:rsidTr="001C7F88">
        <w:tc>
          <w:tcPr>
            <w:tcW w:w="0" w:type="auto"/>
            <w:vAlign w:val="center"/>
          </w:tcPr>
          <w:p w:rsidR="00346CB6" w:rsidRPr="00AD56FF" w:rsidRDefault="00346CB6" w:rsidP="001C7F88">
            <w:pPr>
              <w:jc w:val="right"/>
              <w:rPr>
                <w:b/>
              </w:rPr>
            </w:pPr>
            <w:r w:rsidRPr="00AD56FF">
              <w:rPr>
                <w:b/>
              </w:rPr>
              <w:t>Arizona</w:t>
            </w:r>
          </w:p>
          <w:p w:rsidR="00346CB6" w:rsidRDefault="00346CB6" w:rsidP="001C7F88">
            <w:pPr>
              <w:jc w:val="right"/>
            </w:pPr>
            <w:r>
              <w:t>Sec 19 (ARS 15-1626) and Sec 21 (ARS 15-1782)</w:t>
            </w:r>
          </w:p>
        </w:tc>
        <w:tc>
          <w:tcPr>
            <w:tcW w:w="0" w:type="auto"/>
            <w:gridSpan w:val="2"/>
            <w:vAlign w:val="center"/>
          </w:tcPr>
          <w:p w:rsidR="00346CB6" w:rsidRDefault="00C96A58" w:rsidP="001C7F88">
            <w:pPr>
              <w:jc w:val="center"/>
            </w:pPr>
            <w:r>
              <w:t>Currently i</w:t>
            </w:r>
            <w:r w:rsidR="00346CB6">
              <w:t>mplementing common equivalencies for each cut score</w:t>
            </w:r>
            <w:r>
              <w:t>.</w:t>
            </w: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r>
      <w:tr w:rsidR="007308DC" w:rsidTr="00915208">
        <w:tc>
          <w:tcPr>
            <w:tcW w:w="0" w:type="auto"/>
            <w:vAlign w:val="center"/>
          </w:tcPr>
          <w:p w:rsidR="00346CB6" w:rsidRPr="00AD56FF" w:rsidRDefault="00346CB6" w:rsidP="001C7F88">
            <w:pPr>
              <w:jc w:val="right"/>
              <w:rPr>
                <w:b/>
              </w:rPr>
            </w:pPr>
            <w:r w:rsidRPr="00AD56FF">
              <w:rPr>
                <w:b/>
              </w:rPr>
              <w:t>California State University</w:t>
            </w:r>
          </w:p>
        </w:tc>
        <w:tc>
          <w:tcPr>
            <w:tcW w:w="2047" w:type="dxa"/>
            <w:vAlign w:val="center"/>
          </w:tcPr>
          <w:p w:rsidR="00346CB6" w:rsidRDefault="00244DB6" w:rsidP="001C7F88">
            <w:pPr>
              <w:jc w:val="center"/>
            </w:pPr>
            <w:hyperlink r:id="rId61" w:history="1">
              <w:r w:rsidR="00346CB6" w:rsidRPr="006D212B">
                <w:rPr>
                  <w:rStyle w:val="Hyperlink"/>
                </w:rPr>
                <w:t>3</w:t>
              </w:r>
            </w:hyperlink>
          </w:p>
        </w:tc>
        <w:tc>
          <w:tcPr>
            <w:tcW w:w="1816" w:type="dxa"/>
            <w:vAlign w:val="center"/>
          </w:tcPr>
          <w:p w:rsidR="00346CB6" w:rsidRDefault="00346CB6" w:rsidP="001C7F88">
            <w:pPr>
              <w:jc w:val="center"/>
            </w:pPr>
            <w:r>
              <w:t>4 on half, 5 on half</w:t>
            </w:r>
          </w:p>
        </w:tc>
        <w:tc>
          <w:tcPr>
            <w:tcW w:w="0" w:type="auto"/>
            <w:vAlign w:val="center"/>
          </w:tcPr>
          <w:p w:rsidR="00346CB6" w:rsidRDefault="00346CB6" w:rsidP="001C7F88">
            <w:pPr>
              <w:jc w:val="center"/>
            </w:pPr>
            <w:r>
              <w:t>50</w:t>
            </w: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r>
      <w:tr w:rsidR="00346CB6" w:rsidTr="00915208">
        <w:tc>
          <w:tcPr>
            <w:tcW w:w="0" w:type="auto"/>
            <w:vMerge w:val="restart"/>
            <w:vAlign w:val="center"/>
          </w:tcPr>
          <w:p w:rsidR="00346CB6" w:rsidRDefault="00244DB6" w:rsidP="001C7F88">
            <w:pPr>
              <w:jc w:val="right"/>
              <w:rPr>
                <w:b/>
              </w:rPr>
            </w:pPr>
            <w:hyperlink r:id="rId62" w:history="1">
              <w:r w:rsidR="00346CB6" w:rsidRPr="00243801">
                <w:rPr>
                  <w:rStyle w:val="Hyperlink"/>
                  <w:b/>
                </w:rPr>
                <w:t>Florida</w:t>
              </w:r>
            </w:hyperlink>
          </w:p>
          <w:p w:rsidR="00346CB6" w:rsidRPr="00AD56FF" w:rsidRDefault="00346CB6" w:rsidP="001C7F88">
            <w:pPr>
              <w:rPr>
                <w:b/>
              </w:rPr>
            </w:pPr>
          </w:p>
        </w:tc>
        <w:tc>
          <w:tcPr>
            <w:tcW w:w="2047" w:type="dxa"/>
            <w:vAlign w:val="center"/>
          </w:tcPr>
          <w:p w:rsidR="00346CB6" w:rsidRDefault="00346CB6" w:rsidP="001C7F88">
            <w:pPr>
              <w:jc w:val="center"/>
            </w:pPr>
            <w:r>
              <w:t>3</w:t>
            </w:r>
          </w:p>
        </w:tc>
        <w:tc>
          <w:tcPr>
            <w:tcW w:w="1816" w:type="dxa"/>
            <w:vAlign w:val="center"/>
          </w:tcPr>
          <w:p w:rsidR="00346CB6" w:rsidRDefault="00346CB6" w:rsidP="001C7F88">
            <w:pPr>
              <w:jc w:val="center"/>
            </w:pPr>
            <w:r>
              <w:t>4</w:t>
            </w:r>
          </w:p>
        </w:tc>
        <w:tc>
          <w:tcPr>
            <w:tcW w:w="0" w:type="auto"/>
            <w:vAlign w:val="center"/>
          </w:tcPr>
          <w:p w:rsidR="00346CB6" w:rsidRDefault="00346CB6" w:rsidP="001C7F88">
            <w:pPr>
              <w:jc w:val="center"/>
            </w:pPr>
            <w:r>
              <w:t>50</w:t>
            </w:r>
          </w:p>
        </w:tc>
        <w:tc>
          <w:tcPr>
            <w:tcW w:w="0" w:type="auto"/>
            <w:vAlign w:val="center"/>
          </w:tcPr>
          <w:p w:rsidR="00346CB6" w:rsidRDefault="00346CB6" w:rsidP="001C7F88">
            <w:pPr>
              <w:jc w:val="center"/>
            </w:pPr>
          </w:p>
        </w:tc>
        <w:tc>
          <w:tcPr>
            <w:tcW w:w="0" w:type="auto"/>
            <w:gridSpan w:val="4"/>
            <w:vAlign w:val="center"/>
          </w:tcPr>
          <w:p w:rsidR="00346CB6" w:rsidRDefault="00346CB6" w:rsidP="001C7F88">
            <w:pPr>
              <w:jc w:val="center"/>
            </w:pPr>
            <w:r>
              <w:t>Not required to award credit</w:t>
            </w:r>
            <w:r w:rsidR="00C96A58">
              <w:t xml:space="preserve"> for these types of PLA</w:t>
            </w:r>
            <w:r>
              <w:t xml:space="preserve"> but required to accept it in transfer if awarded at another IHE.</w:t>
            </w:r>
          </w:p>
        </w:tc>
      </w:tr>
      <w:tr w:rsidR="00346CB6" w:rsidTr="001C7F88">
        <w:tc>
          <w:tcPr>
            <w:tcW w:w="0" w:type="auto"/>
            <w:vMerge/>
            <w:vAlign w:val="center"/>
          </w:tcPr>
          <w:p w:rsidR="00346CB6" w:rsidRDefault="00346CB6" w:rsidP="001C7F88">
            <w:pPr>
              <w:jc w:val="right"/>
            </w:pPr>
          </w:p>
        </w:tc>
        <w:tc>
          <w:tcPr>
            <w:tcW w:w="0" w:type="auto"/>
            <w:gridSpan w:val="8"/>
            <w:vAlign w:val="center"/>
          </w:tcPr>
          <w:p w:rsidR="00346CB6" w:rsidRDefault="00346CB6" w:rsidP="001C7F88">
            <w:r w:rsidRPr="00243801">
              <w:rPr>
                <w:color w:val="FF0000"/>
              </w:rPr>
              <w:t xml:space="preserve">IHEs must award the minimum recommended credit for the course or course </w:t>
            </w:r>
            <w:r w:rsidRPr="00346CB6">
              <w:rPr>
                <w:color w:val="FF0000"/>
              </w:rPr>
              <w:t xml:space="preserve">numbers listed, </w:t>
            </w:r>
            <w:r w:rsidRPr="00346CB6">
              <w:rPr>
                <w:bCs/>
                <w:color w:val="FF0000"/>
              </w:rPr>
              <w:t>even if they do not offer the course. PLA credit has to apply to a specific course, cannot simply be awarded as elective credit.</w:t>
            </w:r>
          </w:p>
        </w:tc>
      </w:tr>
      <w:tr w:rsidR="00346CB6" w:rsidTr="001C7F88">
        <w:tc>
          <w:tcPr>
            <w:tcW w:w="0" w:type="auto"/>
            <w:vAlign w:val="center"/>
          </w:tcPr>
          <w:p w:rsidR="00346CB6" w:rsidRPr="00AD56FF" w:rsidRDefault="00346CB6" w:rsidP="001C7F88">
            <w:pPr>
              <w:jc w:val="right"/>
              <w:rPr>
                <w:b/>
              </w:rPr>
            </w:pPr>
            <w:r w:rsidRPr="00AD56FF">
              <w:rPr>
                <w:b/>
              </w:rPr>
              <w:t>Hawaii</w:t>
            </w:r>
          </w:p>
          <w:p w:rsidR="00346CB6" w:rsidRDefault="00346CB6" w:rsidP="001C7F88">
            <w:pPr>
              <w:jc w:val="right"/>
            </w:pPr>
            <w:r>
              <w:t>Section 304A-802, HRS</w:t>
            </w:r>
          </w:p>
        </w:tc>
        <w:tc>
          <w:tcPr>
            <w:tcW w:w="0" w:type="auto"/>
            <w:gridSpan w:val="8"/>
            <w:vAlign w:val="center"/>
          </w:tcPr>
          <w:p w:rsidR="00346CB6" w:rsidRPr="00CF236D" w:rsidRDefault="00346CB6" w:rsidP="001C7F88">
            <w:pPr>
              <w:pStyle w:val="NoSpacing"/>
            </w:pPr>
            <w:r w:rsidRPr="001C7F88">
              <w:rPr>
                <w:color w:val="FF0000"/>
              </w:rPr>
              <w:t>Establishes a college-credit equivalency program at the university and the community colleges to award college credits for students who have successfully completed – at a high school, business school, trade school, adult education school, or military training program – courses that are equivalent to courses offered for credit in the University of Hawaii system. Credits may also be awarded for work or other experiences at the discretion of the university.</w:t>
            </w:r>
          </w:p>
        </w:tc>
      </w:tr>
      <w:tr w:rsidR="007308DC" w:rsidTr="00915208">
        <w:tc>
          <w:tcPr>
            <w:tcW w:w="0" w:type="auto"/>
            <w:vAlign w:val="center"/>
          </w:tcPr>
          <w:p w:rsidR="001C7F88" w:rsidRPr="00AD56FF" w:rsidRDefault="001C7F88" w:rsidP="001C7F88">
            <w:pPr>
              <w:jc w:val="right"/>
              <w:rPr>
                <w:b/>
              </w:rPr>
            </w:pPr>
            <w:r w:rsidRPr="00AD56FF">
              <w:rPr>
                <w:b/>
              </w:rPr>
              <w:t>Indiana</w:t>
            </w:r>
          </w:p>
          <w:p w:rsidR="001C7F88" w:rsidRDefault="001C7F88" w:rsidP="001C7F88">
            <w:pPr>
              <w:jc w:val="right"/>
            </w:pPr>
            <w:r>
              <w:t xml:space="preserve">IND. CODE §21-42-3-1 </w:t>
            </w:r>
          </w:p>
        </w:tc>
        <w:tc>
          <w:tcPr>
            <w:tcW w:w="2047" w:type="dxa"/>
            <w:vAlign w:val="center"/>
          </w:tcPr>
          <w:p w:rsidR="001C7F88" w:rsidRDefault="00244DB6" w:rsidP="001C7F88">
            <w:pPr>
              <w:jc w:val="center"/>
            </w:pPr>
            <w:hyperlink r:id="rId63" w:history="1">
              <w:r w:rsidR="001C7F88" w:rsidRPr="00243801">
                <w:rPr>
                  <w:rStyle w:val="Hyperlink"/>
                </w:rPr>
                <w:t>3</w:t>
              </w:r>
            </w:hyperlink>
          </w:p>
        </w:tc>
        <w:tc>
          <w:tcPr>
            <w:tcW w:w="1816" w:type="dxa"/>
            <w:vAlign w:val="center"/>
          </w:tcPr>
          <w:p w:rsidR="001C7F88" w:rsidRDefault="001C7F88" w:rsidP="001C7F88">
            <w:pPr>
              <w:jc w:val="center"/>
            </w:pPr>
          </w:p>
        </w:tc>
        <w:tc>
          <w:tcPr>
            <w:tcW w:w="0" w:type="auto"/>
            <w:vAlign w:val="center"/>
          </w:tcPr>
          <w:p w:rsidR="001C7F88" w:rsidRDefault="001C7F88" w:rsidP="001C7F88">
            <w:pPr>
              <w:jc w:val="center"/>
            </w:pPr>
          </w:p>
        </w:tc>
        <w:tc>
          <w:tcPr>
            <w:tcW w:w="0" w:type="auto"/>
            <w:vAlign w:val="center"/>
          </w:tcPr>
          <w:p w:rsidR="001C7F88" w:rsidRDefault="001C7F88" w:rsidP="001C7F88">
            <w:pPr>
              <w:jc w:val="center"/>
            </w:pPr>
            <w:r>
              <w:t>Requires equal credit for testing out</w:t>
            </w:r>
          </w:p>
        </w:tc>
        <w:tc>
          <w:tcPr>
            <w:tcW w:w="0" w:type="auto"/>
            <w:vAlign w:val="center"/>
          </w:tcPr>
          <w:p w:rsidR="001C7F88" w:rsidRDefault="001C7F88" w:rsidP="001C7F88">
            <w:pPr>
              <w:jc w:val="center"/>
            </w:pPr>
          </w:p>
        </w:tc>
        <w:tc>
          <w:tcPr>
            <w:tcW w:w="0" w:type="auto"/>
            <w:vAlign w:val="center"/>
          </w:tcPr>
          <w:p w:rsidR="001C7F88" w:rsidRDefault="001C7F88" w:rsidP="001C7F88">
            <w:pPr>
              <w:jc w:val="center"/>
            </w:pPr>
          </w:p>
        </w:tc>
        <w:tc>
          <w:tcPr>
            <w:tcW w:w="0" w:type="auto"/>
            <w:vAlign w:val="center"/>
          </w:tcPr>
          <w:p w:rsidR="001C7F88" w:rsidRDefault="00794023" w:rsidP="001C7F88">
            <w:pPr>
              <w:jc w:val="center"/>
            </w:pPr>
            <w:r>
              <w:t>Requires acceptance of ACE credit recommendations for veterans</w:t>
            </w:r>
          </w:p>
        </w:tc>
        <w:tc>
          <w:tcPr>
            <w:tcW w:w="0" w:type="auto"/>
            <w:vAlign w:val="center"/>
          </w:tcPr>
          <w:p w:rsidR="001C7F88" w:rsidRDefault="001C7F88" w:rsidP="001C7F88">
            <w:pPr>
              <w:jc w:val="center"/>
            </w:pPr>
          </w:p>
        </w:tc>
      </w:tr>
      <w:tr w:rsidR="007308DC" w:rsidTr="00915208">
        <w:tc>
          <w:tcPr>
            <w:tcW w:w="0" w:type="auto"/>
            <w:vAlign w:val="center"/>
          </w:tcPr>
          <w:p w:rsidR="00346CB6" w:rsidRPr="00AD56FF" w:rsidRDefault="00346CB6" w:rsidP="001C7F88">
            <w:pPr>
              <w:jc w:val="right"/>
              <w:rPr>
                <w:b/>
              </w:rPr>
            </w:pPr>
            <w:r w:rsidRPr="00AD56FF">
              <w:rPr>
                <w:b/>
              </w:rPr>
              <w:t>Kansas</w:t>
            </w:r>
          </w:p>
          <w:p w:rsidR="00346CB6" w:rsidRDefault="00346CB6" w:rsidP="001C7F88">
            <w:pPr>
              <w:jc w:val="right"/>
            </w:pPr>
            <w:r>
              <w:t>Board of Regents policy</w:t>
            </w:r>
          </w:p>
        </w:tc>
        <w:tc>
          <w:tcPr>
            <w:tcW w:w="2047" w:type="dxa"/>
            <w:tcBorders>
              <w:bottom w:val="single" w:sz="2" w:space="0" w:color="auto"/>
            </w:tcBorders>
            <w:vAlign w:val="center"/>
          </w:tcPr>
          <w:p w:rsidR="00346CB6" w:rsidRDefault="00346CB6" w:rsidP="001C7F88">
            <w:pPr>
              <w:jc w:val="center"/>
            </w:pPr>
          </w:p>
        </w:tc>
        <w:tc>
          <w:tcPr>
            <w:tcW w:w="1816" w:type="dxa"/>
            <w:tcBorders>
              <w:bottom w:val="single" w:sz="2" w:space="0" w:color="auto"/>
            </w:tcBorders>
            <w:vAlign w:val="center"/>
          </w:tcPr>
          <w:p w:rsidR="00346CB6" w:rsidRDefault="00346CB6" w:rsidP="001C7F88">
            <w:pPr>
              <w:jc w:val="center"/>
            </w:pPr>
          </w:p>
        </w:tc>
        <w:tc>
          <w:tcPr>
            <w:tcW w:w="0" w:type="auto"/>
            <w:tcBorders>
              <w:bottom w:val="single" w:sz="2" w:space="0" w:color="auto"/>
            </w:tcBorders>
            <w:vAlign w:val="center"/>
          </w:tcPr>
          <w:p w:rsidR="00346CB6" w:rsidRDefault="00346CB6" w:rsidP="001C7F88">
            <w:pPr>
              <w:jc w:val="center"/>
            </w:pPr>
            <w:r>
              <w:t>Credits awarded by one IHE must be transferable to all</w:t>
            </w:r>
          </w:p>
        </w:tc>
        <w:tc>
          <w:tcPr>
            <w:tcW w:w="0" w:type="auto"/>
            <w:tcBorders>
              <w:bottom w:val="single" w:sz="2" w:space="0" w:color="auto"/>
            </w:tcBorders>
            <w:vAlign w:val="center"/>
          </w:tcPr>
          <w:p w:rsidR="00346CB6" w:rsidRDefault="00346CB6" w:rsidP="001C7F88">
            <w:pPr>
              <w:jc w:val="center"/>
            </w:pPr>
            <w:r>
              <w:t>Allows for</w:t>
            </w:r>
            <w:r w:rsidR="00C96A58">
              <w:t xml:space="preserve"> this</w:t>
            </w:r>
          </w:p>
        </w:tc>
        <w:tc>
          <w:tcPr>
            <w:tcW w:w="0" w:type="auto"/>
            <w:tcBorders>
              <w:bottom w:val="single" w:sz="2" w:space="0" w:color="auto"/>
            </w:tcBorders>
            <w:vAlign w:val="center"/>
          </w:tcPr>
          <w:p w:rsidR="00346CB6" w:rsidRDefault="00346CB6" w:rsidP="001C7F88">
            <w:pPr>
              <w:jc w:val="center"/>
            </w:pPr>
          </w:p>
        </w:tc>
        <w:tc>
          <w:tcPr>
            <w:tcW w:w="0" w:type="auto"/>
            <w:tcBorders>
              <w:bottom w:val="single" w:sz="2" w:space="0" w:color="auto"/>
            </w:tcBorders>
            <w:vAlign w:val="center"/>
          </w:tcPr>
          <w:p w:rsidR="00346CB6" w:rsidRDefault="00346CB6" w:rsidP="001C7F88">
            <w:pPr>
              <w:jc w:val="center"/>
            </w:pPr>
          </w:p>
        </w:tc>
        <w:tc>
          <w:tcPr>
            <w:tcW w:w="0" w:type="auto"/>
            <w:tcBorders>
              <w:bottom w:val="single" w:sz="2" w:space="0" w:color="auto"/>
            </w:tcBorders>
            <w:vAlign w:val="center"/>
          </w:tcPr>
          <w:p w:rsidR="00346CB6" w:rsidRDefault="00346CB6" w:rsidP="001C7F88">
            <w:pPr>
              <w:jc w:val="center"/>
            </w:pPr>
          </w:p>
        </w:tc>
        <w:tc>
          <w:tcPr>
            <w:tcW w:w="0" w:type="auto"/>
            <w:tcBorders>
              <w:bottom w:val="single" w:sz="2" w:space="0" w:color="auto"/>
            </w:tcBorders>
            <w:vAlign w:val="center"/>
          </w:tcPr>
          <w:p w:rsidR="00346CB6" w:rsidRDefault="00346CB6" w:rsidP="001C7F88">
            <w:pPr>
              <w:jc w:val="center"/>
            </w:pPr>
          </w:p>
        </w:tc>
      </w:tr>
      <w:tr w:rsidR="007308DC" w:rsidTr="00915208">
        <w:tc>
          <w:tcPr>
            <w:tcW w:w="0" w:type="auto"/>
            <w:vMerge w:val="restart"/>
            <w:tcBorders>
              <w:right w:val="single" w:sz="2" w:space="0" w:color="auto"/>
            </w:tcBorders>
            <w:vAlign w:val="center"/>
          </w:tcPr>
          <w:p w:rsidR="00346CB6" w:rsidRPr="00AD56FF" w:rsidRDefault="00244DB6" w:rsidP="001C7F88">
            <w:pPr>
              <w:jc w:val="right"/>
              <w:rPr>
                <w:b/>
              </w:rPr>
            </w:pPr>
            <w:hyperlink r:id="rId64" w:history="1">
              <w:r w:rsidR="00346CB6" w:rsidRPr="00A9318B">
                <w:rPr>
                  <w:rStyle w:val="Hyperlink"/>
                  <w:b/>
                </w:rPr>
                <w:t>Kentucky</w:t>
              </w:r>
            </w:hyperlink>
          </w:p>
          <w:p w:rsidR="00346CB6" w:rsidRPr="000B2A4E" w:rsidRDefault="00244DB6" w:rsidP="001C7F88">
            <w:pPr>
              <w:jc w:val="right"/>
              <w:rPr>
                <w:rFonts w:ascii="Arial" w:hAnsi="Arial" w:cs="Arial"/>
                <w:bCs/>
                <w:sz w:val="16"/>
                <w:szCs w:val="16"/>
              </w:rPr>
            </w:pPr>
            <w:hyperlink r:id="rId65" w:history="1">
              <w:r w:rsidR="00346CB6" w:rsidRPr="000B2A4E">
                <w:rPr>
                  <w:rStyle w:val="Hyperlink"/>
                  <w:rFonts w:ascii="Arial" w:hAnsi="Arial" w:cs="Arial"/>
                  <w:bCs/>
                  <w:sz w:val="16"/>
                  <w:szCs w:val="16"/>
                </w:rPr>
                <w:t>13 KAR 2:025</w:t>
              </w:r>
            </w:hyperlink>
          </w:p>
          <w:p w:rsidR="00346CB6" w:rsidRDefault="00346CB6" w:rsidP="001C7F88"/>
        </w:tc>
        <w:tc>
          <w:tcPr>
            <w:tcW w:w="2047" w:type="dxa"/>
            <w:tcBorders>
              <w:top w:val="single" w:sz="2" w:space="0" w:color="auto"/>
              <w:left w:val="single" w:sz="2" w:space="0" w:color="auto"/>
              <w:bottom w:val="single" w:sz="2" w:space="0" w:color="auto"/>
              <w:right w:val="single" w:sz="2" w:space="0" w:color="auto"/>
            </w:tcBorders>
            <w:vAlign w:val="center"/>
          </w:tcPr>
          <w:p w:rsidR="00346CB6" w:rsidRDefault="00346CB6" w:rsidP="001C7F88">
            <w:pPr>
              <w:jc w:val="center"/>
            </w:pPr>
            <w:r>
              <w:lastRenderedPageBreak/>
              <w:t>3</w:t>
            </w:r>
          </w:p>
          <w:p w:rsidR="00346CB6" w:rsidRDefault="00346CB6" w:rsidP="001C7F88">
            <w:pPr>
              <w:jc w:val="center"/>
            </w:pPr>
          </w:p>
        </w:tc>
        <w:tc>
          <w:tcPr>
            <w:tcW w:w="1816" w:type="dxa"/>
            <w:tcBorders>
              <w:top w:val="single" w:sz="2" w:space="0" w:color="auto"/>
              <w:left w:val="single" w:sz="2" w:space="0" w:color="auto"/>
              <w:bottom w:val="single" w:sz="2" w:space="0" w:color="auto"/>
              <w:right w:val="single" w:sz="2" w:space="0" w:color="auto"/>
            </w:tcBorders>
            <w:vAlign w:val="center"/>
          </w:tcPr>
          <w:p w:rsidR="00346CB6" w:rsidRDefault="00346CB6" w:rsidP="001C7F88">
            <w:pPr>
              <w:jc w:val="center"/>
            </w:pPr>
          </w:p>
        </w:tc>
        <w:tc>
          <w:tcPr>
            <w:tcW w:w="0" w:type="auto"/>
            <w:tcBorders>
              <w:top w:val="single" w:sz="2" w:space="0" w:color="auto"/>
              <w:left w:val="single" w:sz="2" w:space="0" w:color="auto"/>
              <w:bottom w:val="single" w:sz="2" w:space="0" w:color="auto"/>
              <w:right w:val="single" w:sz="2" w:space="0" w:color="auto"/>
            </w:tcBorders>
            <w:vAlign w:val="center"/>
          </w:tcPr>
          <w:p w:rsidR="00346CB6" w:rsidRDefault="00346CB6" w:rsidP="001C7F88">
            <w:pPr>
              <w:jc w:val="center"/>
            </w:pPr>
            <w:r>
              <w:t>50</w:t>
            </w:r>
          </w:p>
        </w:tc>
        <w:tc>
          <w:tcPr>
            <w:tcW w:w="0" w:type="auto"/>
            <w:tcBorders>
              <w:top w:val="single" w:sz="2" w:space="0" w:color="auto"/>
              <w:left w:val="single" w:sz="2" w:space="0" w:color="auto"/>
              <w:bottom w:val="single" w:sz="2" w:space="0" w:color="auto"/>
              <w:right w:val="single" w:sz="2" w:space="0" w:color="auto"/>
            </w:tcBorders>
            <w:vAlign w:val="center"/>
          </w:tcPr>
          <w:p w:rsidR="00346CB6" w:rsidRDefault="00346CB6" w:rsidP="001C7F88">
            <w:pPr>
              <w:jc w:val="center"/>
            </w:pPr>
          </w:p>
        </w:tc>
        <w:tc>
          <w:tcPr>
            <w:tcW w:w="0" w:type="auto"/>
            <w:tcBorders>
              <w:top w:val="single" w:sz="2" w:space="0" w:color="auto"/>
              <w:left w:val="single" w:sz="2" w:space="0" w:color="auto"/>
              <w:bottom w:val="single" w:sz="2" w:space="0" w:color="auto"/>
              <w:right w:val="single" w:sz="2" w:space="0" w:color="auto"/>
            </w:tcBorders>
            <w:vAlign w:val="center"/>
          </w:tcPr>
          <w:p w:rsidR="00346CB6" w:rsidRDefault="00346CB6" w:rsidP="001C7F88">
            <w:pPr>
              <w:jc w:val="center"/>
            </w:pPr>
          </w:p>
        </w:tc>
        <w:tc>
          <w:tcPr>
            <w:tcW w:w="0" w:type="auto"/>
            <w:tcBorders>
              <w:top w:val="single" w:sz="2" w:space="0" w:color="auto"/>
              <w:left w:val="single" w:sz="2" w:space="0" w:color="auto"/>
              <w:bottom w:val="single" w:sz="2" w:space="0" w:color="auto"/>
              <w:right w:val="single" w:sz="2" w:space="0" w:color="auto"/>
            </w:tcBorders>
            <w:vAlign w:val="center"/>
          </w:tcPr>
          <w:p w:rsidR="00346CB6" w:rsidRDefault="00346CB6" w:rsidP="001C7F88">
            <w:pPr>
              <w:jc w:val="center"/>
            </w:pPr>
          </w:p>
        </w:tc>
        <w:tc>
          <w:tcPr>
            <w:tcW w:w="0" w:type="auto"/>
            <w:tcBorders>
              <w:top w:val="single" w:sz="2" w:space="0" w:color="auto"/>
              <w:left w:val="single" w:sz="2" w:space="0" w:color="auto"/>
              <w:bottom w:val="single" w:sz="2" w:space="0" w:color="auto"/>
              <w:right w:val="single" w:sz="2" w:space="0" w:color="auto"/>
            </w:tcBorders>
            <w:vAlign w:val="center"/>
          </w:tcPr>
          <w:p w:rsidR="00346CB6" w:rsidRDefault="00346CB6" w:rsidP="001C7F88">
            <w:pPr>
              <w:jc w:val="center"/>
            </w:pPr>
          </w:p>
        </w:tc>
        <w:tc>
          <w:tcPr>
            <w:tcW w:w="0" w:type="auto"/>
            <w:tcBorders>
              <w:top w:val="single" w:sz="2" w:space="0" w:color="auto"/>
              <w:left w:val="single" w:sz="2" w:space="0" w:color="auto"/>
              <w:bottom w:val="single" w:sz="2" w:space="0" w:color="auto"/>
              <w:right w:val="single" w:sz="2" w:space="0" w:color="auto"/>
            </w:tcBorders>
            <w:vAlign w:val="center"/>
          </w:tcPr>
          <w:p w:rsidR="00346CB6" w:rsidRDefault="00346CB6" w:rsidP="001C7F88">
            <w:pPr>
              <w:jc w:val="center"/>
            </w:pPr>
          </w:p>
        </w:tc>
      </w:tr>
      <w:tr w:rsidR="00346CB6" w:rsidTr="001C7F88">
        <w:tc>
          <w:tcPr>
            <w:tcW w:w="0" w:type="auto"/>
            <w:vMerge/>
            <w:tcBorders>
              <w:right w:val="single" w:sz="2" w:space="0" w:color="auto"/>
            </w:tcBorders>
            <w:vAlign w:val="center"/>
          </w:tcPr>
          <w:p w:rsidR="00346CB6" w:rsidRDefault="00346CB6" w:rsidP="001C7F88">
            <w:pPr>
              <w:jc w:val="right"/>
            </w:pPr>
          </w:p>
        </w:tc>
        <w:tc>
          <w:tcPr>
            <w:tcW w:w="0" w:type="auto"/>
            <w:gridSpan w:val="8"/>
            <w:tcBorders>
              <w:top w:val="single" w:sz="2" w:space="0" w:color="auto"/>
              <w:left w:val="single" w:sz="2" w:space="0" w:color="auto"/>
              <w:bottom w:val="single" w:sz="2" w:space="0" w:color="auto"/>
              <w:right w:val="single" w:sz="2" w:space="0" w:color="auto"/>
            </w:tcBorders>
            <w:vAlign w:val="center"/>
          </w:tcPr>
          <w:p w:rsidR="00346CB6" w:rsidRDefault="00346CB6" w:rsidP="00C96A58">
            <w:r w:rsidRPr="00C7003A">
              <w:rPr>
                <w:color w:val="FF0000"/>
              </w:rPr>
              <w:t>PLA credits apply to specific courses that fulfill degree requirements</w:t>
            </w:r>
            <w:r w:rsidR="00C96A58">
              <w:rPr>
                <w:color w:val="FF0000"/>
              </w:rPr>
              <w:t xml:space="preserve"> on the most part</w:t>
            </w:r>
            <w:r w:rsidRPr="00C7003A">
              <w:rPr>
                <w:color w:val="FF0000"/>
              </w:rPr>
              <w:t xml:space="preserve">, </w:t>
            </w:r>
            <w:r w:rsidR="00C96A58">
              <w:rPr>
                <w:color w:val="FF0000"/>
              </w:rPr>
              <w:t xml:space="preserve">or </w:t>
            </w:r>
            <w:r w:rsidRPr="00C7003A">
              <w:rPr>
                <w:color w:val="FF0000"/>
              </w:rPr>
              <w:t>elective credit in some instances.</w:t>
            </w:r>
          </w:p>
        </w:tc>
      </w:tr>
      <w:tr w:rsidR="00346CB6" w:rsidTr="001C7F88">
        <w:tc>
          <w:tcPr>
            <w:tcW w:w="0" w:type="auto"/>
            <w:vAlign w:val="center"/>
          </w:tcPr>
          <w:p w:rsidR="00346CB6" w:rsidRPr="00AD56FF" w:rsidRDefault="00346CB6" w:rsidP="001C7F88">
            <w:pPr>
              <w:jc w:val="right"/>
              <w:rPr>
                <w:b/>
              </w:rPr>
            </w:pPr>
            <w:r w:rsidRPr="00AD56FF">
              <w:rPr>
                <w:b/>
              </w:rPr>
              <w:t>Louisiana</w:t>
            </w:r>
          </w:p>
          <w:p w:rsidR="00346CB6" w:rsidRDefault="00244DB6" w:rsidP="001C7F88">
            <w:pPr>
              <w:jc w:val="right"/>
            </w:pPr>
            <w:hyperlink r:id="rId66" w:history="1">
              <w:r w:rsidR="00346CB6" w:rsidRPr="00CF1902">
                <w:rPr>
                  <w:rStyle w:val="Hyperlink"/>
                </w:rPr>
                <w:t>S.B. 09-285/Act 356</w:t>
              </w:r>
            </w:hyperlink>
          </w:p>
        </w:tc>
        <w:tc>
          <w:tcPr>
            <w:tcW w:w="0" w:type="auto"/>
            <w:gridSpan w:val="3"/>
            <w:tcBorders>
              <w:top w:val="single" w:sz="2" w:space="0" w:color="auto"/>
            </w:tcBorders>
            <w:vAlign w:val="center"/>
          </w:tcPr>
          <w:p w:rsidR="00346CB6" w:rsidRDefault="00346CB6" w:rsidP="007308DC">
            <w:r>
              <w:t xml:space="preserve">Uniform cut scores and course &amp; credit </w:t>
            </w:r>
            <w:proofErr w:type="gramStart"/>
            <w:r>
              <w:t>equivalencies  in</w:t>
            </w:r>
            <w:proofErr w:type="gramEnd"/>
            <w:r>
              <w:t xml:space="preserve"> development</w:t>
            </w:r>
            <w:r w:rsidR="007308DC">
              <w:t>.</w:t>
            </w:r>
          </w:p>
        </w:tc>
        <w:tc>
          <w:tcPr>
            <w:tcW w:w="0" w:type="auto"/>
            <w:tcBorders>
              <w:top w:val="single" w:sz="2" w:space="0" w:color="auto"/>
            </w:tcBorders>
            <w:vAlign w:val="center"/>
          </w:tcPr>
          <w:p w:rsidR="00346CB6" w:rsidRDefault="00346CB6" w:rsidP="001C7F88">
            <w:pPr>
              <w:jc w:val="center"/>
            </w:pPr>
          </w:p>
        </w:tc>
        <w:tc>
          <w:tcPr>
            <w:tcW w:w="0" w:type="auto"/>
            <w:tcBorders>
              <w:top w:val="single" w:sz="2" w:space="0" w:color="auto"/>
            </w:tcBorders>
            <w:vAlign w:val="center"/>
          </w:tcPr>
          <w:p w:rsidR="00346CB6" w:rsidRDefault="00346CB6" w:rsidP="001C7F88">
            <w:pPr>
              <w:jc w:val="center"/>
            </w:pPr>
          </w:p>
        </w:tc>
        <w:tc>
          <w:tcPr>
            <w:tcW w:w="0" w:type="auto"/>
            <w:tcBorders>
              <w:top w:val="single" w:sz="2" w:space="0" w:color="auto"/>
            </w:tcBorders>
            <w:vAlign w:val="center"/>
          </w:tcPr>
          <w:p w:rsidR="00346CB6" w:rsidRDefault="00346CB6" w:rsidP="001C7F88">
            <w:pPr>
              <w:jc w:val="center"/>
            </w:pPr>
          </w:p>
        </w:tc>
        <w:tc>
          <w:tcPr>
            <w:tcW w:w="0" w:type="auto"/>
            <w:tcBorders>
              <w:top w:val="single" w:sz="2" w:space="0" w:color="auto"/>
            </w:tcBorders>
            <w:vAlign w:val="center"/>
          </w:tcPr>
          <w:p w:rsidR="00346CB6" w:rsidRDefault="00346CB6" w:rsidP="001C7F88">
            <w:pPr>
              <w:jc w:val="center"/>
            </w:pPr>
          </w:p>
        </w:tc>
        <w:tc>
          <w:tcPr>
            <w:tcW w:w="0" w:type="auto"/>
            <w:tcBorders>
              <w:top w:val="single" w:sz="2" w:space="0" w:color="auto"/>
            </w:tcBorders>
            <w:vAlign w:val="center"/>
          </w:tcPr>
          <w:p w:rsidR="00346CB6" w:rsidRDefault="00346CB6" w:rsidP="001C7F88">
            <w:pPr>
              <w:jc w:val="center"/>
            </w:pPr>
          </w:p>
        </w:tc>
      </w:tr>
      <w:tr w:rsidR="00346CB6" w:rsidTr="001C7F88">
        <w:tc>
          <w:tcPr>
            <w:tcW w:w="0" w:type="auto"/>
            <w:vAlign w:val="center"/>
          </w:tcPr>
          <w:p w:rsidR="00346CB6" w:rsidRPr="00AD56FF" w:rsidRDefault="00244DB6" w:rsidP="001C7F88">
            <w:pPr>
              <w:jc w:val="right"/>
              <w:rPr>
                <w:b/>
              </w:rPr>
            </w:pPr>
            <w:hyperlink r:id="rId67" w:history="1">
              <w:r w:rsidR="00346CB6" w:rsidRPr="00540C73">
                <w:rPr>
                  <w:rStyle w:val="Hyperlink"/>
                  <w:b/>
                </w:rPr>
                <w:t>Maryland</w:t>
              </w:r>
            </w:hyperlink>
          </w:p>
          <w:p w:rsidR="00346CB6" w:rsidRDefault="00346CB6" w:rsidP="001C7F88">
            <w:pPr>
              <w:jc w:val="right"/>
            </w:pPr>
            <w:r>
              <w:t xml:space="preserve">MD Higher Ed. Comm. </w:t>
            </w:r>
          </w:p>
        </w:tc>
        <w:tc>
          <w:tcPr>
            <w:tcW w:w="0" w:type="auto"/>
            <w:gridSpan w:val="8"/>
            <w:vAlign w:val="center"/>
          </w:tcPr>
          <w:p w:rsidR="00346CB6" w:rsidRDefault="00346CB6" w:rsidP="001C7F88">
            <w:pPr>
              <w:pStyle w:val="NoSpacing"/>
            </w:pPr>
            <w:r>
              <w:t>New regulations were adopted to lift existing caps on the use of credit-by-exam and other competency-based methods of assessing student learning among Maryland higher education institutions (March 2014).</w:t>
            </w:r>
          </w:p>
        </w:tc>
      </w:tr>
      <w:tr w:rsidR="007308DC" w:rsidTr="00915208">
        <w:tc>
          <w:tcPr>
            <w:tcW w:w="0" w:type="auto"/>
            <w:vAlign w:val="center"/>
          </w:tcPr>
          <w:p w:rsidR="00346CB6" w:rsidRPr="00AD56FF" w:rsidRDefault="00346CB6" w:rsidP="00971026">
            <w:pPr>
              <w:jc w:val="right"/>
              <w:rPr>
                <w:b/>
              </w:rPr>
            </w:pPr>
            <w:r w:rsidRPr="00AD56FF">
              <w:rPr>
                <w:b/>
              </w:rPr>
              <w:t>Minnesota</w:t>
            </w:r>
          </w:p>
          <w:p w:rsidR="00346CB6" w:rsidRDefault="00244DB6" w:rsidP="00971026">
            <w:pPr>
              <w:jc w:val="right"/>
            </w:pPr>
            <w:hyperlink r:id="rId68" w:history="1">
              <w:proofErr w:type="spellStart"/>
              <w:r w:rsidR="00346CB6" w:rsidRPr="00540C73">
                <w:rPr>
                  <w:rStyle w:val="Hyperlink"/>
                </w:rPr>
                <w:t>MnSCUBoard</w:t>
              </w:r>
              <w:proofErr w:type="spellEnd"/>
              <w:r w:rsidR="00346CB6" w:rsidRPr="00540C73">
                <w:rPr>
                  <w:rStyle w:val="Hyperlink"/>
                </w:rPr>
                <w:t xml:space="preserve"> Policy 3.35.1</w:t>
              </w:r>
            </w:hyperlink>
            <w:r w:rsidR="00346CB6">
              <w:t xml:space="preserve"> </w:t>
            </w:r>
          </w:p>
        </w:tc>
        <w:tc>
          <w:tcPr>
            <w:tcW w:w="2047" w:type="dxa"/>
            <w:vAlign w:val="center"/>
          </w:tcPr>
          <w:p w:rsidR="00346CB6" w:rsidRDefault="00244DB6" w:rsidP="00971026">
            <w:pPr>
              <w:jc w:val="center"/>
            </w:pPr>
            <w:hyperlink r:id="rId69" w:history="1">
              <w:r w:rsidR="00346CB6" w:rsidRPr="00F2234C">
                <w:rPr>
                  <w:rStyle w:val="Hyperlink"/>
                </w:rPr>
                <w:t>3</w:t>
              </w:r>
            </w:hyperlink>
          </w:p>
        </w:tc>
        <w:tc>
          <w:tcPr>
            <w:tcW w:w="1816" w:type="dxa"/>
            <w:vAlign w:val="center"/>
          </w:tcPr>
          <w:p w:rsidR="00346CB6" w:rsidRDefault="00C96A58" w:rsidP="00971026">
            <w:pPr>
              <w:jc w:val="center"/>
            </w:pPr>
            <w:r>
              <w:t>Required</w:t>
            </w:r>
          </w:p>
        </w:tc>
        <w:tc>
          <w:tcPr>
            <w:tcW w:w="0" w:type="auto"/>
            <w:vAlign w:val="center"/>
          </w:tcPr>
          <w:p w:rsidR="00346CB6" w:rsidRDefault="00C96A58" w:rsidP="00971026">
            <w:pPr>
              <w:jc w:val="center"/>
            </w:pPr>
            <w:r>
              <w:t>Required</w:t>
            </w:r>
          </w:p>
        </w:tc>
        <w:tc>
          <w:tcPr>
            <w:tcW w:w="0" w:type="auto"/>
            <w:vAlign w:val="center"/>
          </w:tcPr>
          <w:p w:rsidR="00346CB6" w:rsidRDefault="00346CB6" w:rsidP="00971026">
            <w:pPr>
              <w:jc w:val="center"/>
            </w:pPr>
          </w:p>
        </w:tc>
        <w:tc>
          <w:tcPr>
            <w:tcW w:w="0" w:type="auto"/>
            <w:vAlign w:val="center"/>
          </w:tcPr>
          <w:p w:rsidR="00346CB6" w:rsidRDefault="00346CB6" w:rsidP="00971026">
            <w:pPr>
              <w:jc w:val="center"/>
            </w:pPr>
          </w:p>
        </w:tc>
        <w:tc>
          <w:tcPr>
            <w:tcW w:w="0" w:type="auto"/>
            <w:gridSpan w:val="2"/>
            <w:vAlign w:val="center"/>
          </w:tcPr>
          <w:p w:rsidR="00346CB6" w:rsidRDefault="00346CB6" w:rsidP="00971026">
            <w:pPr>
              <w:jc w:val="center"/>
            </w:pPr>
            <w:r>
              <w:t>Requires acceptance of ACE credit recommendations</w:t>
            </w:r>
          </w:p>
        </w:tc>
        <w:tc>
          <w:tcPr>
            <w:tcW w:w="0" w:type="auto"/>
            <w:vAlign w:val="center"/>
          </w:tcPr>
          <w:p w:rsidR="00346CB6" w:rsidRDefault="00346CB6" w:rsidP="00971026">
            <w:pPr>
              <w:jc w:val="center"/>
            </w:pPr>
          </w:p>
        </w:tc>
      </w:tr>
      <w:tr w:rsidR="007308DC" w:rsidTr="00915208">
        <w:tc>
          <w:tcPr>
            <w:tcW w:w="0" w:type="auto"/>
            <w:vAlign w:val="center"/>
          </w:tcPr>
          <w:p w:rsidR="00346CB6" w:rsidRPr="00AD56FF" w:rsidRDefault="00346CB6" w:rsidP="001C7F88">
            <w:pPr>
              <w:jc w:val="right"/>
              <w:rPr>
                <w:b/>
              </w:rPr>
            </w:pPr>
            <w:r w:rsidRPr="00AD56FF">
              <w:rPr>
                <w:b/>
              </w:rPr>
              <w:t>Montana</w:t>
            </w:r>
          </w:p>
          <w:p w:rsidR="00346CB6" w:rsidRDefault="00346CB6" w:rsidP="001C7F88">
            <w:pPr>
              <w:jc w:val="right"/>
            </w:pPr>
            <w:r>
              <w:t>MBRHE policy</w:t>
            </w:r>
          </w:p>
        </w:tc>
        <w:tc>
          <w:tcPr>
            <w:tcW w:w="2047" w:type="dxa"/>
            <w:vAlign w:val="center"/>
          </w:tcPr>
          <w:p w:rsidR="00346CB6" w:rsidRDefault="00346CB6" w:rsidP="001C7F88">
            <w:pPr>
              <w:jc w:val="center"/>
            </w:pPr>
          </w:p>
        </w:tc>
        <w:tc>
          <w:tcPr>
            <w:tcW w:w="1816" w:type="dxa"/>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r>
              <w:t>Developing standards</w:t>
            </w: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r>
      <w:tr w:rsidR="007308DC" w:rsidTr="00915208">
        <w:tc>
          <w:tcPr>
            <w:tcW w:w="0" w:type="auto"/>
            <w:vAlign w:val="center"/>
          </w:tcPr>
          <w:p w:rsidR="00346CB6" w:rsidRPr="00201134" w:rsidRDefault="00346CB6" w:rsidP="001C7F88">
            <w:pPr>
              <w:jc w:val="right"/>
              <w:rPr>
                <w:b/>
              </w:rPr>
            </w:pPr>
            <w:r w:rsidRPr="00201134">
              <w:rPr>
                <w:b/>
              </w:rPr>
              <w:t>Nevada</w:t>
            </w:r>
          </w:p>
          <w:p w:rsidR="00346CB6" w:rsidRDefault="00346CB6" w:rsidP="001C7F88">
            <w:pPr>
              <w:jc w:val="right"/>
            </w:pPr>
            <w:r>
              <w:t>BOR, Title 4, Ch. 14, Sec. 22</w:t>
            </w:r>
          </w:p>
        </w:tc>
        <w:tc>
          <w:tcPr>
            <w:tcW w:w="2047" w:type="dxa"/>
            <w:vAlign w:val="center"/>
          </w:tcPr>
          <w:p w:rsidR="00346CB6" w:rsidRDefault="00346CB6" w:rsidP="001C7F88">
            <w:pPr>
              <w:jc w:val="center"/>
            </w:pPr>
          </w:p>
        </w:tc>
        <w:tc>
          <w:tcPr>
            <w:tcW w:w="1816" w:type="dxa"/>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r w:rsidRPr="00575CB6">
              <w:t>Developing standards</w:t>
            </w: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r>
      <w:tr w:rsidR="007308DC" w:rsidTr="00915208">
        <w:tc>
          <w:tcPr>
            <w:tcW w:w="0" w:type="auto"/>
            <w:vMerge w:val="restart"/>
          </w:tcPr>
          <w:p w:rsidR="00346CB6" w:rsidRPr="00201134" w:rsidRDefault="00346CB6" w:rsidP="001C7F88">
            <w:pPr>
              <w:jc w:val="right"/>
              <w:rPr>
                <w:b/>
              </w:rPr>
            </w:pPr>
            <w:r w:rsidRPr="00201134">
              <w:rPr>
                <w:b/>
              </w:rPr>
              <w:t>North Dakota</w:t>
            </w:r>
          </w:p>
          <w:p w:rsidR="00346CB6" w:rsidRDefault="00244DB6" w:rsidP="001C7F88">
            <w:pPr>
              <w:jc w:val="right"/>
            </w:pPr>
            <w:hyperlink r:id="rId70" w:history="1">
              <w:r w:rsidR="00346CB6" w:rsidRPr="00CF1902">
                <w:rPr>
                  <w:rStyle w:val="Hyperlink"/>
                </w:rPr>
                <w:t>SBHE Policy 403.7.4</w:t>
              </w:r>
            </w:hyperlink>
          </w:p>
          <w:p w:rsidR="00346CB6" w:rsidRDefault="00346CB6" w:rsidP="001C7F88"/>
        </w:tc>
        <w:tc>
          <w:tcPr>
            <w:tcW w:w="2047" w:type="dxa"/>
            <w:vAlign w:val="center"/>
          </w:tcPr>
          <w:p w:rsidR="00346CB6" w:rsidRPr="007308DC" w:rsidRDefault="00346CB6" w:rsidP="001C7F88">
            <w:pPr>
              <w:jc w:val="center"/>
              <w:rPr>
                <w:szCs w:val="22"/>
              </w:rPr>
            </w:pPr>
            <w:r w:rsidRPr="007308DC">
              <w:rPr>
                <w:szCs w:val="22"/>
              </w:rPr>
              <w:t>3 on all except:</w:t>
            </w:r>
          </w:p>
          <w:p w:rsidR="00346CB6" w:rsidRPr="007308DC" w:rsidRDefault="00346CB6" w:rsidP="001C7F88">
            <w:pPr>
              <w:jc w:val="center"/>
              <w:rPr>
                <w:color w:val="000000"/>
                <w:szCs w:val="22"/>
              </w:rPr>
            </w:pPr>
            <w:r w:rsidRPr="007308DC">
              <w:rPr>
                <w:szCs w:val="22"/>
              </w:rPr>
              <w:t xml:space="preserve">4 on </w:t>
            </w:r>
            <w:r w:rsidRPr="007308DC">
              <w:rPr>
                <w:color w:val="000000"/>
                <w:szCs w:val="22"/>
              </w:rPr>
              <w:t>AP Literature and Composition,</w:t>
            </w:r>
          </w:p>
          <w:p w:rsidR="00346CB6" w:rsidRPr="007308DC" w:rsidRDefault="00346CB6" w:rsidP="001C7F88">
            <w:pPr>
              <w:jc w:val="center"/>
              <w:rPr>
                <w:color w:val="000000"/>
                <w:szCs w:val="22"/>
              </w:rPr>
            </w:pPr>
            <w:r w:rsidRPr="007308DC">
              <w:rPr>
                <w:color w:val="000000"/>
                <w:szCs w:val="22"/>
              </w:rPr>
              <w:t>4 on AP Biology, &amp;</w:t>
            </w:r>
          </w:p>
          <w:p w:rsidR="00346CB6" w:rsidRDefault="00346CB6" w:rsidP="001C7F88">
            <w:pPr>
              <w:jc w:val="center"/>
            </w:pPr>
            <w:r w:rsidRPr="007308DC">
              <w:rPr>
                <w:color w:val="000000"/>
                <w:szCs w:val="22"/>
              </w:rPr>
              <w:t>4 on AP Chemistry</w:t>
            </w:r>
          </w:p>
        </w:tc>
        <w:tc>
          <w:tcPr>
            <w:tcW w:w="1816" w:type="dxa"/>
            <w:vAlign w:val="center"/>
          </w:tcPr>
          <w:p w:rsidR="00346CB6" w:rsidRPr="00FF661D" w:rsidRDefault="00346CB6" w:rsidP="001C7F88">
            <w:pPr>
              <w:jc w:val="center"/>
            </w:pPr>
            <w:r>
              <w:t>4, except 5 on Physics</w:t>
            </w:r>
          </w:p>
        </w:tc>
        <w:tc>
          <w:tcPr>
            <w:tcW w:w="0" w:type="auto"/>
            <w:vAlign w:val="center"/>
          </w:tcPr>
          <w:p w:rsidR="00346CB6" w:rsidRDefault="00244DB6" w:rsidP="001C7F88">
            <w:pPr>
              <w:jc w:val="center"/>
            </w:pPr>
            <w:hyperlink r:id="rId71" w:history="1">
              <w:r w:rsidR="00346CB6" w:rsidRPr="00484BB3">
                <w:rPr>
                  <w:rStyle w:val="Hyperlink"/>
                </w:rPr>
                <w:t>Credit by Exam Chart</w:t>
              </w:r>
            </w:hyperlink>
            <w:r w:rsidR="00346CB6">
              <w:t xml:space="preserve"> states CLEP is no longer accepted but lists cut scores mostly of 50</w:t>
            </w:r>
          </w:p>
        </w:tc>
        <w:tc>
          <w:tcPr>
            <w:tcW w:w="0" w:type="auto"/>
            <w:vAlign w:val="center"/>
          </w:tcPr>
          <w:p w:rsidR="00346CB6" w:rsidRDefault="00346CB6" w:rsidP="001C7F88">
            <w:pPr>
              <w:jc w:val="center"/>
            </w:pPr>
            <w:r>
              <w:t>Common guidelines</w:t>
            </w:r>
            <w:r w:rsidR="00C96A58">
              <w:t xml:space="preserve"> for this</w:t>
            </w:r>
          </w:p>
        </w:tc>
        <w:tc>
          <w:tcPr>
            <w:tcW w:w="0" w:type="auto"/>
            <w:vAlign w:val="center"/>
          </w:tcPr>
          <w:p w:rsidR="00346CB6" w:rsidRPr="00CF1902" w:rsidRDefault="00346CB6" w:rsidP="001C7F88">
            <w:pPr>
              <w:pStyle w:val="NoSpacing"/>
            </w:pPr>
            <w:r w:rsidRPr="00CF1902">
              <w:t>Not accepted:</w:t>
            </w:r>
          </w:p>
          <w:p w:rsidR="00346CB6" w:rsidRPr="00CF1902" w:rsidRDefault="00346CB6" w:rsidP="001C7F88">
            <w:pPr>
              <w:pStyle w:val="NoSpacing"/>
            </w:pPr>
            <w:r>
              <w:t>Prin.</w:t>
            </w:r>
            <w:r w:rsidRPr="00CF1902">
              <w:t xml:space="preserve"> of Physical Science I</w:t>
            </w:r>
            <w:r>
              <w:t>,</w:t>
            </w:r>
            <w:r w:rsidRPr="00CF1902">
              <w:t xml:space="preserve"> </w:t>
            </w:r>
          </w:p>
          <w:p w:rsidR="00346CB6" w:rsidRPr="00CF1902" w:rsidRDefault="00346CB6" w:rsidP="001C7F88">
            <w:pPr>
              <w:pStyle w:val="NoSpacing"/>
            </w:pPr>
            <w:r>
              <w:t xml:space="preserve">Tech. </w:t>
            </w:r>
            <w:proofErr w:type="spellStart"/>
            <w:r>
              <w:t>Wrt</w:t>
            </w:r>
            <w:r w:rsidRPr="00CF1902">
              <w:t>ng</w:t>
            </w:r>
            <w:proofErr w:type="spellEnd"/>
            <w:r>
              <w:t>, &amp;</w:t>
            </w:r>
            <w:r w:rsidRPr="00CF1902">
              <w:t xml:space="preserve"> </w:t>
            </w:r>
          </w:p>
          <w:p w:rsidR="00346CB6" w:rsidRPr="00484BB3" w:rsidRDefault="00346CB6" w:rsidP="001C7F88">
            <w:pPr>
              <w:pStyle w:val="NoSpacing"/>
              <w:rPr>
                <w:sz w:val="23"/>
                <w:szCs w:val="23"/>
              </w:rPr>
            </w:pPr>
            <w:r>
              <w:t>Prin.</w:t>
            </w:r>
            <w:r w:rsidRPr="00CF1902">
              <w:t xml:space="preserve"> of Public Speaking</w:t>
            </w:r>
            <w:r>
              <w:rPr>
                <w:sz w:val="23"/>
                <w:szCs w:val="23"/>
              </w:rPr>
              <w:t xml:space="preserve"> </w:t>
            </w: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r>
      <w:tr w:rsidR="00346CB6" w:rsidTr="001C7F88">
        <w:tc>
          <w:tcPr>
            <w:tcW w:w="0" w:type="auto"/>
            <w:vMerge/>
          </w:tcPr>
          <w:p w:rsidR="00346CB6" w:rsidRPr="00201134" w:rsidRDefault="00346CB6" w:rsidP="001C7F88">
            <w:pPr>
              <w:jc w:val="right"/>
              <w:rPr>
                <w:b/>
              </w:rPr>
            </w:pPr>
          </w:p>
        </w:tc>
        <w:tc>
          <w:tcPr>
            <w:tcW w:w="0" w:type="auto"/>
            <w:gridSpan w:val="8"/>
            <w:vAlign w:val="center"/>
          </w:tcPr>
          <w:p w:rsidR="00346CB6" w:rsidRDefault="00346CB6" w:rsidP="001C7F88">
            <w:r w:rsidRPr="00C7003A">
              <w:rPr>
                <w:color w:val="FF0000"/>
              </w:rPr>
              <w:t>All credit applies to Gen Ed requirements.</w:t>
            </w:r>
          </w:p>
        </w:tc>
      </w:tr>
      <w:tr w:rsidR="007308DC" w:rsidTr="00915208">
        <w:tc>
          <w:tcPr>
            <w:tcW w:w="0" w:type="auto"/>
            <w:vMerge w:val="restart"/>
          </w:tcPr>
          <w:p w:rsidR="00346CB6" w:rsidRPr="00CF1902" w:rsidRDefault="00244DB6" w:rsidP="001C7F88">
            <w:pPr>
              <w:jc w:val="right"/>
              <w:rPr>
                <w:b/>
              </w:rPr>
            </w:pPr>
            <w:hyperlink r:id="rId72" w:history="1">
              <w:r w:rsidR="00346CB6" w:rsidRPr="00540C73">
                <w:rPr>
                  <w:rStyle w:val="Hyperlink"/>
                  <w:b/>
                </w:rPr>
                <w:t>Ohio</w:t>
              </w:r>
            </w:hyperlink>
          </w:p>
          <w:p w:rsidR="00346CB6" w:rsidRDefault="00244DB6" w:rsidP="001C7F88">
            <w:pPr>
              <w:jc w:val="right"/>
            </w:pPr>
            <w:hyperlink r:id="rId73" w:history="1">
              <w:r w:rsidR="00346CB6" w:rsidRPr="00CF1902">
                <w:rPr>
                  <w:rStyle w:val="Hyperlink"/>
                </w:rPr>
                <w:t>Board of Regents Policy</w:t>
              </w:r>
            </w:hyperlink>
          </w:p>
          <w:p w:rsidR="00346CB6" w:rsidRPr="00CF1902" w:rsidRDefault="00346CB6" w:rsidP="001C7F88">
            <w:pPr>
              <w:rPr>
                <w:color w:val="FF0000"/>
              </w:rPr>
            </w:pPr>
          </w:p>
        </w:tc>
        <w:tc>
          <w:tcPr>
            <w:tcW w:w="2047" w:type="dxa"/>
            <w:vAlign w:val="center"/>
          </w:tcPr>
          <w:p w:rsidR="00346CB6" w:rsidRDefault="00244DB6" w:rsidP="001C7F88">
            <w:pPr>
              <w:jc w:val="center"/>
            </w:pPr>
            <w:hyperlink r:id="rId74" w:history="1">
              <w:r w:rsidR="00346CB6" w:rsidRPr="00CF1902">
                <w:rPr>
                  <w:rStyle w:val="Hyperlink"/>
                </w:rPr>
                <w:t>3</w:t>
              </w:r>
            </w:hyperlink>
          </w:p>
        </w:tc>
        <w:tc>
          <w:tcPr>
            <w:tcW w:w="1816" w:type="dxa"/>
            <w:vAlign w:val="center"/>
          </w:tcPr>
          <w:p w:rsidR="00346CB6" w:rsidRDefault="00346CB6" w:rsidP="001C7F88">
            <w:pPr>
              <w:jc w:val="center"/>
            </w:pPr>
          </w:p>
        </w:tc>
        <w:tc>
          <w:tcPr>
            <w:tcW w:w="0" w:type="auto"/>
            <w:vAlign w:val="center"/>
          </w:tcPr>
          <w:p w:rsidR="00346CB6" w:rsidRDefault="00244DB6" w:rsidP="001C7F88">
            <w:pPr>
              <w:jc w:val="center"/>
            </w:pPr>
            <w:hyperlink r:id="rId75" w:history="1">
              <w:r w:rsidR="00346CB6" w:rsidRPr="00CF1902">
                <w:rPr>
                  <w:rStyle w:val="Hyperlink"/>
                </w:rPr>
                <w:t>In development</w:t>
              </w:r>
            </w:hyperlink>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r w:rsidRPr="00CF1902">
              <w:t xml:space="preserve">Requires </w:t>
            </w:r>
            <w:r w:rsidRPr="00CF1902">
              <w:lastRenderedPageBreak/>
              <w:t>accepta</w:t>
            </w:r>
            <w:r>
              <w:t>nce of ACE credit rec</w:t>
            </w:r>
            <w:r w:rsidRPr="00CF1902">
              <w:t>s</w:t>
            </w:r>
            <w:r>
              <w:t>.</w:t>
            </w:r>
          </w:p>
        </w:tc>
        <w:tc>
          <w:tcPr>
            <w:tcW w:w="0" w:type="auto"/>
            <w:vAlign w:val="center"/>
          </w:tcPr>
          <w:p w:rsidR="00346CB6" w:rsidRDefault="00346CB6" w:rsidP="001C7F88">
            <w:pPr>
              <w:jc w:val="center"/>
            </w:pPr>
          </w:p>
        </w:tc>
      </w:tr>
      <w:tr w:rsidR="00346CB6" w:rsidTr="001C7F88">
        <w:tc>
          <w:tcPr>
            <w:tcW w:w="0" w:type="auto"/>
            <w:vMerge/>
          </w:tcPr>
          <w:p w:rsidR="00346CB6" w:rsidRDefault="00346CB6" w:rsidP="001C7F88">
            <w:pPr>
              <w:jc w:val="right"/>
              <w:rPr>
                <w:b/>
              </w:rPr>
            </w:pPr>
          </w:p>
        </w:tc>
        <w:tc>
          <w:tcPr>
            <w:tcW w:w="0" w:type="auto"/>
            <w:gridSpan w:val="8"/>
            <w:vAlign w:val="center"/>
          </w:tcPr>
          <w:p w:rsidR="00346CB6" w:rsidRDefault="00346CB6" w:rsidP="001C7F88">
            <w:r w:rsidRPr="00C7003A">
              <w:rPr>
                <w:color w:val="FF0000"/>
              </w:rPr>
              <w:t xml:space="preserve">If PLA credit meets Gen Ed </w:t>
            </w:r>
            <w:r w:rsidR="00C96A58">
              <w:rPr>
                <w:color w:val="FF0000"/>
              </w:rPr>
              <w:t>or other major and degree requirements</w:t>
            </w:r>
            <w:r w:rsidRPr="00C7003A">
              <w:rPr>
                <w:color w:val="FF0000"/>
              </w:rPr>
              <w:t xml:space="preserve"> it must apply to that. Otherwise, can apply to elective credit.</w:t>
            </w:r>
          </w:p>
        </w:tc>
      </w:tr>
      <w:tr w:rsidR="001C7F88" w:rsidTr="001C7F88">
        <w:tc>
          <w:tcPr>
            <w:tcW w:w="0" w:type="auto"/>
          </w:tcPr>
          <w:p w:rsidR="001C7F88" w:rsidRPr="006D212B" w:rsidRDefault="001C7F88" w:rsidP="001C7F88">
            <w:pPr>
              <w:jc w:val="right"/>
              <w:rPr>
                <w:b/>
              </w:rPr>
            </w:pPr>
            <w:r>
              <w:rPr>
                <w:b/>
              </w:rPr>
              <w:t>Oklahoma</w:t>
            </w:r>
          </w:p>
        </w:tc>
        <w:tc>
          <w:tcPr>
            <w:tcW w:w="0" w:type="auto"/>
            <w:gridSpan w:val="8"/>
            <w:vAlign w:val="center"/>
          </w:tcPr>
          <w:p w:rsidR="001C7F88" w:rsidRPr="001C7F88" w:rsidRDefault="001C7F88" w:rsidP="001C7F88">
            <w:pPr>
              <w:rPr>
                <w:color w:val="FF0000"/>
              </w:rPr>
            </w:pPr>
            <w:r>
              <w:rPr>
                <w:color w:val="FF0000"/>
              </w:rPr>
              <w:t>All institutions must accept each other’s PLA credits in transfer. Costs to students for PLA credit should reflect as closely as possible the actual costs for administration.</w:t>
            </w:r>
          </w:p>
        </w:tc>
      </w:tr>
      <w:tr w:rsidR="007308DC" w:rsidTr="00915208">
        <w:tc>
          <w:tcPr>
            <w:tcW w:w="0" w:type="auto"/>
            <w:vMerge w:val="restart"/>
          </w:tcPr>
          <w:p w:rsidR="00346CB6" w:rsidRDefault="00346CB6" w:rsidP="001C7F88">
            <w:pPr>
              <w:jc w:val="right"/>
              <w:rPr>
                <w:b/>
              </w:rPr>
            </w:pPr>
            <w:r w:rsidRPr="006D212B">
              <w:rPr>
                <w:b/>
              </w:rPr>
              <w:t>Oregon</w:t>
            </w:r>
          </w:p>
          <w:p w:rsidR="00346CB6" w:rsidRPr="00F2234C" w:rsidRDefault="00346CB6" w:rsidP="001C7F88">
            <w:pPr>
              <w:rPr>
                <w:b/>
              </w:rPr>
            </w:pPr>
          </w:p>
        </w:tc>
        <w:tc>
          <w:tcPr>
            <w:tcW w:w="2047" w:type="dxa"/>
            <w:vAlign w:val="center"/>
          </w:tcPr>
          <w:p w:rsidR="00346CB6" w:rsidRDefault="00244DB6" w:rsidP="001C7F88">
            <w:pPr>
              <w:jc w:val="center"/>
            </w:pPr>
            <w:hyperlink r:id="rId76" w:history="1">
              <w:r w:rsidR="00346CB6" w:rsidRPr="006D212B">
                <w:rPr>
                  <w:rStyle w:val="Hyperlink"/>
                </w:rPr>
                <w:t>3 on half, 4 on half</w:t>
              </w:r>
            </w:hyperlink>
          </w:p>
        </w:tc>
        <w:tc>
          <w:tcPr>
            <w:tcW w:w="1816" w:type="dxa"/>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r>
      <w:tr w:rsidR="00346CB6" w:rsidTr="001C7F88">
        <w:tc>
          <w:tcPr>
            <w:tcW w:w="0" w:type="auto"/>
            <w:vMerge/>
          </w:tcPr>
          <w:p w:rsidR="00346CB6" w:rsidRPr="006D212B" w:rsidRDefault="00346CB6" w:rsidP="001C7F88">
            <w:pPr>
              <w:jc w:val="right"/>
              <w:rPr>
                <w:b/>
              </w:rPr>
            </w:pPr>
          </w:p>
        </w:tc>
        <w:tc>
          <w:tcPr>
            <w:tcW w:w="0" w:type="auto"/>
            <w:gridSpan w:val="8"/>
            <w:vAlign w:val="center"/>
          </w:tcPr>
          <w:p w:rsidR="00346CB6" w:rsidRDefault="00346CB6" w:rsidP="001C7F88">
            <w:r w:rsidRPr="00C7003A">
              <w:rPr>
                <w:color w:val="FF0000"/>
              </w:rPr>
              <w:t>Institutions will identify specific course articulations for their campus.</w:t>
            </w:r>
          </w:p>
        </w:tc>
      </w:tr>
      <w:tr w:rsidR="00915208" w:rsidTr="00915208">
        <w:tc>
          <w:tcPr>
            <w:tcW w:w="0" w:type="auto"/>
          </w:tcPr>
          <w:p w:rsidR="00915208" w:rsidRPr="00EA36C7" w:rsidRDefault="00915208" w:rsidP="001C7F88">
            <w:pPr>
              <w:jc w:val="right"/>
              <w:rPr>
                <w:b/>
              </w:rPr>
            </w:pPr>
            <w:r w:rsidRPr="00915208">
              <w:rPr>
                <w:b/>
              </w:rPr>
              <w:t>Pennsylvania</w:t>
            </w:r>
          </w:p>
        </w:tc>
        <w:tc>
          <w:tcPr>
            <w:tcW w:w="12408" w:type="dxa"/>
            <w:gridSpan w:val="8"/>
            <w:vAlign w:val="center"/>
          </w:tcPr>
          <w:p w:rsidR="00915208" w:rsidRPr="00915208" w:rsidRDefault="00244DB6" w:rsidP="00915208">
            <w:pPr>
              <w:rPr>
                <w:color w:val="FF0000"/>
              </w:rPr>
            </w:pPr>
            <w:hyperlink r:id="rId77" w:history="1">
              <w:r w:rsidR="00915208" w:rsidRPr="00915208">
                <w:rPr>
                  <w:rStyle w:val="Hyperlink"/>
                </w:rPr>
                <w:t>HB 14-2076</w:t>
              </w:r>
            </w:hyperlink>
            <w:r w:rsidR="00915208">
              <w:rPr>
                <w:color w:val="FF0000"/>
              </w:rPr>
              <w:t>, currently going through PA General Assembly, calls for “</w:t>
            </w:r>
            <w:r w:rsidR="00915208" w:rsidRPr="00915208">
              <w:rPr>
                <w:color w:val="FF0000"/>
              </w:rPr>
              <w:t>uniform standards for determining academic credit for prior learning.”</w:t>
            </w:r>
          </w:p>
        </w:tc>
      </w:tr>
      <w:tr w:rsidR="007308DC" w:rsidTr="00915208">
        <w:tc>
          <w:tcPr>
            <w:tcW w:w="0" w:type="auto"/>
          </w:tcPr>
          <w:p w:rsidR="00346CB6" w:rsidRPr="00EA36C7" w:rsidRDefault="00346CB6" w:rsidP="001C7F88">
            <w:pPr>
              <w:jc w:val="right"/>
              <w:rPr>
                <w:b/>
              </w:rPr>
            </w:pPr>
            <w:r w:rsidRPr="00EA36C7">
              <w:rPr>
                <w:b/>
              </w:rPr>
              <w:t>Rhode Island</w:t>
            </w:r>
          </w:p>
        </w:tc>
        <w:tc>
          <w:tcPr>
            <w:tcW w:w="2047" w:type="dxa"/>
            <w:vAlign w:val="center"/>
          </w:tcPr>
          <w:p w:rsidR="00346CB6" w:rsidRDefault="00346CB6" w:rsidP="001C7F88">
            <w:pPr>
              <w:jc w:val="center"/>
            </w:pPr>
          </w:p>
        </w:tc>
        <w:tc>
          <w:tcPr>
            <w:tcW w:w="1816" w:type="dxa"/>
            <w:vAlign w:val="center"/>
          </w:tcPr>
          <w:p w:rsidR="00346CB6" w:rsidRDefault="00346CB6" w:rsidP="001C7F88">
            <w:pPr>
              <w:jc w:val="center"/>
            </w:pPr>
          </w:p>
        </w:tc>
        <w:tc>
          <w:tcPr>
            <w:tcW w:w="0" w:type="auto"/>
            <w:vAlign w:val="center"/>
          </w:tcPr>
          <w:p w:rsidR="00346CB6" w:rsidRDefault="00346CB6" w:rsidP="001C7F88">
            <w:pPr>
              <w:jc w:val="center"/>
            </w:pPr>
            <w:r>
              <w:t xml:space="preserve">Requires acceptance of </w:t>
            </w:r>
            <w:hyperlink r:id="rId78" w:history="1">
              <w:r w:rsidRPr="00EA36C7">
                <w:rPr>
                  <w:rStyle w:val="Hyperlink"/>
                </w:rPr>
                <w:t>ACE Credit Recommendations for CLEP</w:t>
              </w:r>
            </w:hyperlink>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r>
      <w:tr w:rsidR="007308DC" w:rsidTr="00915208">
        <w:tc>
          <w:tcPr>
            <w:tcW w:w="0" w:type="auto"/>
            <w:vMerge w:val="restart"/>
          </w:tcPr>
          <w:p w:rsidR="00346CB6" w:rsidRDefault="00244DB6" w:rsidP="001C7F88">
            <w:pPr>
              <w:jc w:val="right"/>
              <w:rPr>
                <w:b/>
              </w:rPr>
            </w:pPr>
            <w:hyperlink r:id="rId79" w:history="1">
              <w:r w:rsidR="00346CB6" w:rsidRPr="003F2F12">
                <w:rPr>
                  <w:rStyle w:val="Hyperlink"/>
                  <w:b/>
                </w:rPr>
                <w:t>South Carolina</w:t>
              </w:r>
            </w:hyperlink>
          </w:p>
          <w:p w:rsidR="00346CB6" w:rsidRPr="003F2F12" w:rsidRDefault="00346CB6" w:rsidP="001C7F88">
            <w:pPr>
              <w:pStyle w:val="NoSpacing"/>
              <w:rPr>
                <w:b/>
                <w:color w:val="FF0000"/>
              </w:rPr>
            </w:pPr>
          </w:p>
        </w:tc>
        <w:tc>
          <w:tcPr>
            <w:tcW w:w="2047" w:type="dxa"/>
            <w:vAlign w:val="center"/>
          </w:tcPr>
          <w:p w:rsidR="00346CB6" w:rsidRDefault="00346CB6" w:rsidP="00583759">
            <w:pPr>
              <w:jc w:val="center"/>
            </w:pPr>
            <w:r>
              <w:t>3</w:t>
            </w:r>
            <w:r w:rsidR="00583759">
              <w:t xml:space="preserve"> on most, 4 on several</w:t>
            </w:r>
          </w:p>
        </w:tc>
        <w:tc>
          <w:tcPr>
            <w:tcW w:w="1816" w:type="dxa"/>
            <w:vAlign w:val="center"/>
          </w:tcPr>
          <w:p w:rsidR="00346CB6" w:rsidRDefault="00346CB6" w:rsidP="001C7F88">
            <w:pPr>
              <w:jc w:val="center"/>
            </w:pPr>
            <w:r>
              <w:t>4</w:t>
            </w: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r>
      <w:tr w:rsidR="00346CB6" w:rsidTr="001C7F88">
        <w:tc>
          <w:tcPr>
            <w:tcW w:w="0" w:type="auto"/>
            <w:vMerge/>
          </w:tcPr>
          <w:p w:rsidR="00346CB6" w:rsidRDefault="00346CB6" w:rsidP="001C7F88">
            <w:pPr>
              <w:jc w:val="right"/>
            </w:pPr>
          </w:p>
        </w:tc>
        <w:tc>
          <w:tcPr>
            <w:tcW w:w="0" w:type="auto"/>
            <w:gridSpan w:val="8"/>
            <w:vAlign w:val="center"/>
          </w:tcPr>
          <w:p w:rsidR="00346CB6" w:rsidRDefault="00346CB6" w:rsidP="001C7F88">
            <w:r w:rsidRPr="003F2F12">
              <w:rPr>
                <w:color w:val="FF0000"/>
              </w:rPr>
              <w:t>Required to award credit for the course, the content of which, parallels that of the examination.</w:t>
            </w:r>
          </w:p>
        </w:tc>
      </w:tr>
      <w:tr w:rsidR="007308DC" w:rsidTr="00915208">
        <w:tc>
          <w:tcPr>
            <w:tcW w:w="0" w:type="auto"/>
            <w:vMerge w:val="restart"/>
          </w:tcPr>
          <w:p w:rsidR="00346CB6" w:rsidRDefault="00346CB6" w:rsidP="001C7F88">
            <w:pPr>
              <w:jc w:val="right"/>
              <w:rPr>
                <w:b/>
              </w:rPr>
            </w:pPr>
            <w:r w:rsidRPr="003F2F12">
              <w:rPr>
                <w:b/>
              </w:rPr>
              <w:t>South Dakota</w:t>
            </w:r>
          </w:p>
          <w:p w:rsidR="00346CB6" w:rsidRPr="003F2F12" w:rsidRDefault="00346CB6" w:rsidP="001C7F88">
            <w:pPr>
              <w:rPr>
                <w:b/>
              </w:rPr>
            </w:pPr>
          </w:p>
        </w:tc>
        <w:tc>
          <w:tcPr>
            <w:tcW w:w="2047" w:type="dxa"/>
            <w:vAlign w:val="center"/>
          </w:tcPr>
          <w:p w:rsidR="00346CB6" w:rsidRDefault="00244DB6" w:rsidP="001C7F88">
            <w:pPr>
              <w:jc w:val="center"/>
            </w:pPr>
            <w:hyperlink r:id="rId80" w:history="1">
              <w:r w:rsidR="00346CB6" w:rsidRPr="00D66893">
                <w:rPr>
                  <w:rStyle w:val="Hyperlink"/>
                </w:rPr>
                <w:t>3 on almost all, 4 on several</w:t>
              </w:r>
            </w:hyperlink>
          </w:p>
        </w:tc>
        <w:tc>
          <w:tcPr>
            <w:tcW w:w="1816" w:type="dxa"/>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r>
      <w:tr w:rsidR="00346CB6" w:rsidTr="001C7F88">
        <w:tc>
          <w:tcPr>
            <w:tcW w:w="0" w:type="auto"/>
            <w:vMerge/>
          </w:tcPr>
          <w:p w:rsidR="00346CB6" w:rsidRPr="003F2F12" w:rsidRDefault="00346CB6" w:rsidP="001C7F88">
            <w:pPr>
              <w:jc w:val="right"/>
              <w:rPr>
                <w:b/>
              </w:rPr>
            </w:pPr>
          </w:p>
        </w:tc>
        <w:tc>
          <w:tcPr>
            <w:tcW w:w="0" w:type="auto"/>
            <w:gridSpan w:val="8"/>
            <w:vAlign w:val="center"/>
          </w:tcPr>
          <w:p w:rsidR="00346CB6" w:rsidRDefault="00346CB6" w:rsidP="001C7F88">
            <w:r w:rsidRPr="00C7003A">
              <w:rPr>
                <w:color w:val="FF0000"/>
              </w:rPr>
              <w:t>Required to award credit for a specific course.</w:t>
            </w:r>
          </w:p>
        </w:tc>
      </w:tr>
      <w:tr w:rsidR="00346CB6" w:rsidTr="001C7F88">
        <w:tc>
          <w:tcPr>
            <w:tcW w:w="0" w:type="auto"/>
            <w:vMerge w:val="restart"/>
          </w:tcPr>
          <w:p w:rsidR="00346CB6" w:rsidRDefault="00244DB6" w:rsidP="001C7F88">
            <w:pPr>
              <w:jc w:val="right"/>
              <w:rPr>
                <w:rStyle w:val="Hyperlink"/>
                <w:b/>
              </w:rPr>
            </w:pPr>
            <w:hyperlink r:id="rId81" w:history="1">
              <w:r w:rsidR="00346CB6" w:rsidRPr="00EA36C7">
                <w:rPr>
                  <w:rStyle w:val="Hyperlink"/>
                  <w:b/>
                </w:rPr>
                <w:t>Tennessee</w:t>
              </w:r>
            </w:hyperlink>
          </w:p>
          <w:p w:rsidR="00DE50E5" w:rsidRPr="00DE50E5" w:rsidRDefault="00244DB6" w:rsidP="001C7F88">
            <w:pPr>
              <w:jc w:val="right"/>
              <w:rPr>
                <w:b/>
              </w:rPr>
            </w:pPr>
            <w:hyperlink r:id="rId82" w:history="1">
              <w:r w:rsidR="00DE50E5" w:rsidRPr="00DE50E5">
                <w:rPr>
                  <w:rStyle w:val="Hyperlink"/>
                </w:rPr>
                <w:t>PLA Documents and Technical Assistance</w:t>
              </w:r>
            </w:hyperlink>
          </w:p>
        </w:tc>
        <w:tc>
          <w:tcPr>
            <w:tcW w:w="0" w:type="auto"/>
            <w:gridSpan w:val="8"/>
            <w:vAlign w:val="center"/>
          </w:tcPr>
          <w:p w:rsidR="00346CB6" w:rsidRPr="00225D94" w:rsidRDefault="00346CB6" w:rsidP="001C7F88">
            <w:r w:rsidRPr="00225D94">
              <w:rPr>
                <w:color w:val="333333"/>
              </w:rPr>
              <w:t xml:space="preserve">When awarding credit under this provision, the institution should use a recognized guide or procedure for awarding the credit for extra-institutional or life-long learning and lists, for example, ACE, CAEL, </w:t>
            </w:r>
            <w:proofErr w:type="gramStart"/>
            <w:r w:rsidRPr="00225D94">
              <w:rPr>
                <w:color w:val="333333"/>
              </w:rPr>
              <w:t>College</w:t>
            </w:r>
            <w:proofErr w:type="gramEnd"/>
            <w:r w:rsidRPr="00225D94">
              <w:rPr>
                <w:color w:val="333333"/>
              </w:rPr>
              <w:t xml:space="preserve"> Board’s recommended AP scores and so on.</w:t>
            </w:r>
          </w:p>
        </w:tc>
      </w:tr>
      <w:tr w:rsidR="00346CB6" w:rsidTr="001C7F88">
        <w:tc>
          <w:tcPr>
            <w:tcW w:w="0" w:type="auto"/>
            <w:vMerge/>
          </w:tcPr>
          <w:p w:rsidR="00346CB6" w:rsidRDefault="00346CB6" w:rsidP="001C7F88">
            <w:pPr>
              <w:jc w:val="right"/>
            </w:pPr>
          </w:p>
        </w:tc>
        <w:tc>
          <w:tcPr>
            <w:tcW w:w="0" w:type="auto"/>
            <w:gridSpan w:val="8"/>
            <w:vAlign w:val="center"/>
          </w:tcPr>
          <w:p w:rsidR="00DE50E5" w:rsidRPr="00DE50E5" w:rsidRDefault="00346CB6" w:rsidP="00DE50E5">
            <w:pPr>
              <w:rPr>
                <w:color w:val="FF0000"/>
              </w:rPr>
            </w:pPr>
            <w:r w:rsidRPr="006D6F0D">
              <w:rPr>
                <w:color w:val="FF0000"/>
              </w:rPr>
              <w:t xml:space="preserve">PLA credits apply toward majors, minors, concentration, gen </w:t>
            </w:r>
            <w:proofErr w:type="spellStart"/>
            <w:r w:rsidRPr="006D6F0D">
              <w:rPr>
                <w:color w:val="FF0000"/>
              </w:rPr>
              <w:t>ed</w:t>
            </w:r>
            <w:proofErr w:type="spellEnd"/>
            <w:r w:rsidRPr="006D6F0D">
              <w:rPr>
                <w:color w:val="FF0000"/>
              </w:rPr>
              <w:t xml:space="preserve"> and electives that count toward the degree or certificate.</w:t>
            </w:r>
          </w:p>
        </w:tc>
      </w:tr>
      <w:tr w:rsidR="007308DC" w:rsidTr="00915208">
        <w:tc>
          <w:tcPr>
            <w:tcW w:w="0" w:type="auto"/>
            <w:vMerge w:val="restart"/>
          </w:tcPr>
          <w:p w:rsidR="00346CB6" w:rsidRPr="001E0EFF" w:rsidRDefault="00244DB6" w:rsidP="001C7F88">
            <w:pPr>
              <w:jc w:val="right"/>
              <w:rPr>
                <w:b/>
              </w:rPr>
            </w:pPr>
            <w:hyperlink r:id="rId83" w:history="1">
              <w:r w:rsidR="00346CB6" w:rsidRPr="009D0BD4">
                <w:rPr>
                  <w:rStyle w:val="Hyperlink"/>
                  <w:b/>
                </w:rPr>
                <w:t>Utah</w:t>
              </w:r>
            </w:hyperlink>
          </w:p>
          <w:p w:rsidR="00346CB6" w:rsidRPr="00575CB6" w:rsidRDefault="00346CB6" w:rsidP="001C7F88">
            <w:pPr>
              <w:jc w:val="right"/>
            </w:pPr>
            <w:r>
              <w:t xml:space="preserve">Utah Code </w:t>
            </w:r>
            <w:hyperlink r:id="rId84" w:history="1">
              <w:r w:rsidRPr="001E0EFF">
                <w:rPr>
                  <w:rStyle w:val="Hyperlink"/>
                </w:rPr>
                <w:t>Title 53B, Chapter 16, Section 105</w:t>
              </w:r>
            </w:hyperlink>
          </w:p>
        </w:tc>
        <w:tc>
          <w:tcPr>
            <w:tcW w:w="2047" w:type="dxa"/>
            <w:vAlign w:val="center"/>
          </w:tcPr>
          <w:p w:rsidR="00346CB6" w:rsidRDefault="00346CB6" w:rsidP="001C7F88">
            <w:pPr>
              <w:jc w:val="center"/>
            </w:pPr>
            <w:r>
              <w:t>3</w:t>
            </w:r>
          </w:p>
        </w:tc>
        <w:tc>
          <w:tcPr>
            <w:tcW w:w="1816" w:type="dxa"/>
            <w:vAlign w:val="center"/>
          </w:tcPr>
          <w:p w:rsidR="00346CB6" w:rsidRDefault="00346CB6" w:rsidP="001C7F88">
            <w:pPr>
              <w:jc w:val="center"/>
            </w:pPr>
            <w:r>
              <w:t>IHE determines.</w:t>
            </w:r>
          </w:p>
        </w:tc>
        <w:tc>
          <w:tcPr>
            <w:tcW w:w="0" w:type="auto"/>
            <w:vAlign w:val="center"/>
          </w:tcPr>
          <w:p w:rsidR="00346CB6" w:rsidRDefault="00346CB6" w:rsidP="001C7F88">
            <w:pPr>
              <w:jc w:val="center"/>
            </w:pPr>
            <w:r>
              <w:t>50</w:t>
            </w:r>
          </w:p>
        </w:tc>
        <w:tc>
          <w:tcPr>
            <w:tcW w:w="0" w:type="auto"/>
            <w:vAlign w:val="center"/>
          </w:tcPr>
          <w:p w:rsidR="00346CB6" w:rsidRDefault="00346CB6" w:rsidP="001C7F88">
            <w:pPr>
              <w:jc w:val="center"/>
            </w:pPr>
            <w:r>
              <w:t>IHE determines.</w:t>
            </w: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r>
      <w:tr w:rsidR="00346CB6" w:rsidTr="001C7F88">
        <w:tc>
          <w:tcPr>
            <w:tcW w:w="0" w:type="auto"/>
            <w:vMerge/>
          </w:tcPr>
          <w:p w:rsidR="00346CB6" w:rsidRPr="006D6F0D" w:rsidRDefault="00346CB6" w:rsidP="001C7F88">
            <w:pPr>
              <w:jc w:val="right"/>
              <w:rPr>
                <w:color w:val="FF0000"/>
              </w:rPr>
            </w:pPr>
          </w:p>
        </w:tc>
        <w:tc>
          <w:tcPr>
            <w:tcW w:w="0" w:type="auto"/>
            <w:gridSpan w:val="8"/>
            <w:vAlign w:val="center"/>
          </w:tcPr>
          <w:p w:rsidR="00346CB6" w:rsidRPr="006D6F0D" w:rsidRDefault="00346CB6" w:rsidP="001C7F88">
            <w:pPr>
              <w:rPr>
                <w:color w:val="FF0000"/>
              </w:rPr>
            </w:pPr>
            <w:r w:rsidRPr="006D6F0D">
              <w:rPr>
                <w:color w:val="FF0000"/>
              </w:rPr>
              <w:t xml:space="preserve">Policy specifies which PLA exams should fulfill which gen </w:t>
            </w:r>
            <w:proofErr w:type="spellStart"/>
            <w:r w:rsidRPr="006D6F0D">
              <w:rPr>
                <w:color w:val="FF0000"/>
              </w:rPr>
              <w:t>ed</w:t>
            </w:r>
            <w:proofErr w:type="spellEnd"/>
            <w:r w:rsidRPr="006D6F0D">
              <w:rPr>
                <w:color w:val="FF0000"/>
              </w:rPr>
              <w:t xml:space="preserve"> requirements.</w:t>
            </w:r>
          </w:p>
        </w:tc>
      </w:tr>
      <w:tr w:rsidR="00346CB6" w:rsidTr="001C7F88">
        <w:tc>
          <w:tcPr>
            <w:tcW w:w="0" w:type="auto"/>
          </w:tcPr>
          <w:p w:rsidR="00346CB6" w:rsidRPr="00540C73" w:rsidRDefault="00346CB6" w:rsidP="001C7F88">
            <w:pPr>
              <w:jc w:val="right"/>
              <w:rPr>
                <w:b/>
              </w:rPr>
            </w:pPr>
            <w:r>
              <w:rPr>
                <w:b/>
              </w:rPr>
              <w:lastRenderedPageBreak/>
              <w:t>Vermont</w:t>
            </w:r>
          </w:p>
        </w:tc>
        <w:tc>
          <w:tcPr>
            <w:tcW w:w="0" w:type="auto"/>
            <w:gridSpan w:val="8"/>
            <w:vAlign w:val="center"/>
          </w:tcPr>
          <w:p w:rsidR="00346CB6" w:rsidRPr="00575CB6" w:rsidRDefault="00346CB6" w:rsidP="001C7F88">
            <w:pPr>
              <w:rPr>
                <w:szCs w:val="22"/>
              </w:rPr>
            </w:pPr>
            <w:r w:rsidRPr="00575CB6">
              <w:rPr>
                <w:szCs w:val="22"/>
              </w:rPr>
              <w:t>Vermont State Colleges (VSC) designated one institution—the Community College of Vermont (CCV)—to conduct all prior learning assessment for the system, including administering CLEP, assessing corporate training for credit and administering the Assessment of Prior Learning (APL) class. The APL class is a semester-long, three-credit course that guides students through the process of describing and documenting their experiential learning in a portfolio. A committee of faculty and professionals reviews each portfolio and recommends the amount of credit to be awarded. There is no cap on the number of credits students can earn based on their demonstrated learning. Credit can be transferred to any other VSC institution and some independent institutions. More than 7,000 Vermonters have participated, and 80 percent of those who complete the APL class complete it successfully and earn an average of 30 credits. Costs include a three-credit course at CCV plus a $300 fee to cover reviewers’ time.</w:t>
            </w:r>
          </w:p>
        </w:tc>
      </w:tr>
      <w:tr w:rsidR="00346CB6" w:rsidTr="001C7F88">
        <w:tc>
          <w:tcPr>
            <w:tcW w:w="0" w:type="auto"/>
            <w:vMerge w:val="restart"/>
          </w:tcPr>
          <w:p w:rsidR="00346CB6" w:rsidRDefault="00244DB6" w:rsidP="001C7F88">
            <w:pPr>
              <w:jc w:val="right"/>
              <w:rPr>
                <w:b/>
              </w:rPr>
            </w:pPr>
            <w:hyperlink r:id="rId85" w:history="1">
              <w:r w:rsidR="00346CB6" w:rsidRPr="000E79B6">
                <w:rPr>
                  <w:rStyle w:val="Hyperlink"/>
                  <w:b/>
                </w:rPr>
                <w:t>Washington</w:t>
              </w:r>
            </w:hyperlink>
          </w:p>
          <w:p w:rsidR="00346CB6" w:rsidRDefault="00244DB6" w:rsidP="001C7F88">
            <w:pPr>
              <w:jc w:val="right"/>
            </w:pPr>
            <w:hyperlink r:id="rId86" w:history="1">
              <w:r w:rsidR="00346CB6" w:rsidRPr="000E79B6">
                <w:rPr>
                  <w:rStyle w:val="Hyperlink"/>
                </w:rPr>
                <w:t>SB 10-6357</w:t>
              </w:r>
            </w:hyperlink>
          </w:p>
          <w:p w:rsidR="00346CB6" w:rsidRPr="000E79B6" w:rsidRDefault="00244DB6" w:rsidP="001C7F88">
            <w:pPr>
              <w:jc w:val="right"/>
            </w:pPr>
            <w:hyperlink r:id="rId87" w:history="1">
              <w:r w:rsidR="00346CB6" w:rsidRPr="000E79B6">
                <w:rPr>
                  <w:rStyle w:val="Hyperlink"/>
                </w:rPr>
                <w:t>HB 11-1795</w:t>
              </w:r>
            </w:hyperlink>
          </w:p>
          <w:p w:rsidR="00346CB6" w:rsidRDefault="00244DB6" w:rsidP="001C7F88">
            <w:pPr>
              <w:jc w:val="right"/>
            </w:pPr>
            <w:hyperlink r:id="rId88" w:history="1">
              <w:r w:rsidR="00346CB6" w:rsidRPr="009D0BD4">
                <w:rPr>
                  <w:rStyle w:val="Hyperlink"/>
                </w:rPr>
                <w:t>Washington Revised Code 28B.10.053</w:t>
              </w:r>
            </w:hyperlink>
          </w:p>
          <w:p w:rsidR="00346CB6" w:rsidRPr="009D0BD4" w:rsidRDefault="00346CB6" w:rsidP="001C7F88"/>
        </w:tc>
        <w:tc>
          <w:tcPr>
            <w:tcW w:w="0" w:type="auto"/>
            <w:gridSpan w:val="8"/>
            <w:vAlign w:val="center"/>
          </w:tcPr>
          <w:p w:rsidR="00346CB6" w:rsidRDefault="00346CB6" w:rsidP="001C7F88">
            <w:r w:rsidRPr="00070A7D">
              <w:rPr>
                <w:rFonts w:cs="Arial"/>
              </w:rPr>
              <w:t>Each institution shall create and publish a list of its courses that can be satisfied by successful proficiency examination scores or demonstrated competencies for lower division general education requirements or postsecondary professional technical requirements. To the maximum extent possible, institutions of higher education shall agree on examination qualifying scores and demonstrated competencies for the credits or courses under subsection (3) of this section, with scores equivalent to qualified or well-qualified…. must recognize the equivalencies of at least one year of course credit and maximize the application of the credits toward lower division general education requirements that can be earned through successfully demonstrating proficiency on examinations, including but not limited to advanced placement and international baccalaureate examinations.</w:t>
            </w:r>
            <w:r>
              <w:rPr>
                <w:rFonts w:cs="Arial"/>
              </w:rPr>
              <w:t xml:space="preserve">  </w:t>
            </w:r>
            <w:r w:rsidRPr="00070A7D">
              <w:rPr>
                <w:rFonts w:cs="Arial"/>
              </w:rPr>
              <w:t xml:space="preserve">Example: </w:t>
            </w:r>
            <w:hyperlink r:id="rId89" w:anchor="adva_plac_cred" w:history="1">
              <w:r w:rsidRPr="00070A7D">
                <w:rPr>
                  <w:rStyle w:val="Hyperlink"/>
                  <w:rFonts w:cs="Arial"/>
                </w:rPr>
                <w:t>Central Washington University</w:t>
              </w:r>
            </w:hyperlink>
          </w:p>
        </w:tc>
      </w:tr>
      <w:tr w:rsidR="00346CB6" w:rsidTr="001C7F88">
        <w:tc>
          <w:tcPr>
            <w:tcW w:w="0" w:type="auto"/>
            <w:vMerge/>
          </w:tcPr>
          <w:p w:rsidR="00346CB6" w:rsidRDefault="00346CB6" w:rsidP="001C7F88">
            <w:pPr>
              <w:jc w:val="right"/>
              <w:rPr>
                <w:b/>
              </w:rPr>
            </w:pPr>
          </w:p>
        </w:tc>
        <w:tc>
          <w:tcPr>
            <w:tcW w:w="0" w:type="auto"/>
            <w:gridSpan w:val="8"/>
            <w:vAlign w:val="center"/>
          </w:tcPr>
          <w:p w:rsidR="00346CB6" w:rsidRPr="00070A7D" w:rsidRDefault="00346CB6" w:rsidP="001C7F88">
            <w:pPr>
              <w:rPr>
                <w:rFonts w:cs="Arial"/>
              </w:rPr>
            </w:pPr>
            <w:r w:rsidRPr="006D6F0D">
              <w:rPr>
                <w:rFonts w:cs="Arial"/>
                <w:color w:val="FF0000"/>
              </w:rPr>
              <w:t xml:space="preserve">Must fulfill lower division gen </w:t>
            </w:r>
            <w:proofErr w:type="spellStart"/>
            <w:r w:rsidRPr="006D6F0D">
              <w:rPr>
                <w:rFonts w:cs="Arial"/>
                <w:color w:val="FF0000"/>
              </w:rPr>
              <w:t>ed</w:t>
            </w:r>
            <w:proofErr w:type="spellEnd"/>
            <w:r w:rsidRPr="006D6F0D">
              <w:rPr>
                <w:rFonts w:cs="Arial"/>
                <w:color w:val="FF0000"/>
              </w:rPr>
              <w:t xml:space="preserve"> or </w:t>
            </w:r>
            <w:r>
              <w:rPr>
                <w:rFonts w:cs="Arial"/>
                <w:color w:val="FF0000"/>
              </w:rPr>
              <w:t>career and technical education requirements.</w:t>
            </w:r>
          </w:p>
        </w:tc>
      </w:tr>
      <w:tr w:rsidR="007308DC" w:rsidTr="00915208">
        <w:tc>
          <w:tcPr>
            <w:tcW w:w="0" w:type="auto"/>
            <w:vMerge w:val="restart"/>
          </w:tcPr>
          <w:p w:rsidR="00346CB6" w:rsidRDefault="00346CB6" w:rsidP="001C7F88">
            <w:pPr>
              <w:jc w:val="right"/>
              <w:rPr>
                <w:b/>
              </w:rPr>
            </w:pPr>
            <w:r w:rsidRPr="00D66893">
              <w:rPr>
                <w:b/>
              </w:rPr>
              <w:t>West Virginia</w:t>
            </w:r>
          </w:p>
          <w:p w:rsidR="00346CB6" w:rsidRPr="001A4B10" w:rsidRDefault="00244DB6" w:rsidP="001C7F88">
            <w:pPr>
              <w:jc w:val="right"/>
            </w:pPr>
            <w:hyperlink r:id="rId90" w:history="1">
              <w:r w:rsidR="00346CB6" w:rsidRPr="001A4B10">
                <w:rPr>
                  <w:rStyle w:val="Hyperlink"/>
                </w:rPr>
                <w:t>WV Higher Education Policy</w:t>
              </w:r>
            </w:hyperlink>
            <w:r w:rsidR="00346CB6" w:rsidRPr="001A4B10">
              <w:t xml:space="preserve"> </w:t>
            </w:r>
          </w:p>
          <w:p w:rsidR="00346CB6" w:rsidRPr="00D66893" w:rsidRDefault="00346CB6" w:rsidP="001C7F88">
            <w:pPr>
              <w:rPr>
                <w:b/>
              </w:rPr>
            </w:pPr>
          </w:p>
        </w:tc>
        <w:tc>
          <w:tcPr>
            <w:tcW w:w="2047" w:type="dxa"/>
            <w:vAlign w:val="center"/>
          </w:tcPr>
          <w:p w:rsidR="00346CB6" w:rsidRDefault="00244DB6" w:rsidP="001C7F88">
            <w:pPr>
              <w:jc w:val="center"/>
            </w:pPr>
            <w:hyperlink r:id="rId91" w:history="1">
              <w:r w:rsidR="00346CB6" w:rsidRPr="001A4B10">
                <w:rPr>
                  <w:rStyle w:val="Hyperlink"/>
                </w:rPr>
                <w:t>3 on almost all, 4 on several</w:t>
              </w:r>
            </w:hyperlink>
          </w:p>
        </w:tc>
        <w:tc>
          <w:tcPr>
            <w:tcW w:w="1816" w:type="dxa"/>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r>
      <w:tr w:rsidR="00346CB6" w:rsidTr="001C7F88">
        <w:tc>
          <w:tcPr>
            <w:tcW w:w="0" w:type="auto"/>
            <w:vMerge/>
          </w:tcPr>
          <w:p w:rsidR="00346CB6" w:rsidRPr="00D66893" w:rsidRDefault="00346CB6" w:rsidP="001C7F88">
            <w:pPr>
              <w:jc w:val="right"/>
              <w:rPr>
                <w:b/>
              </w:rPr>
            </w:pPr>
          </w:p>
        </w:tc>
        <w:tc>
          <w:tcPr>
            <w:tcW w:w="0" w:type="auto"/>
            <w:gridSpan w:val="8"/>
            <w:vAlign w:val="center"/>
          </w:tcPr>
          <w:p w:rsidR="00346CB6" w:rsidRDefault="00346CB6" w:rsidP="001C7F88">
            <w:r w:rsidRPr="006D6F0D">
              <w:rPr>
                <w:color w:val="FF0000"/>
              </w:rPr>
              <w:t>When the AP exam is in the area of the student’s major, the institution will award credit toward the major or core curriculum, but the IHE may require a higher score than 3 on an AP test if the credit is to be used toward meeting a course requirement for a major in the department.</w:t>
            </w:r>
          </w:p>
        </w:tc>
      </w:tr>
      <w:tr w:rsidR="007308DC" w:rsidTr="00915208">
        <w:tc>
          <w:tcPr>
            <w:tcW w:w="0" w:type="auto"/>
            <w:vMerge w:val="restart"/>
          </w:tcPr>
          <w:p w:rsidR="00346CB6" w:rsidRDefault="00346CB6" w:rsidP="001C7F88">
            <w:pPr>
              <w:jc w:val="right"/>
              <w:rPr>
                <w:b/>
              </w:rPr>
            </w:pPr>
            <w:r w:rsidRPr="00A64BAC">
              <w:rPr>
                <w:b/>
              </w:rPr>
              <w:t>Wisconsin</w:t>
            </w:r>
          </w:p>
          <w:p w:rsidR="00346CB6" w:rsidRPr="00A64BAC" w:rsidRDefault="00346CB6" w:rsidP="001C7F88">
            <w:pPr>
              <w:rPr>
                <w:b/>
              </w:rPr>
            </w:pPr>
          </w:p>
        </w:tc>
        <w:tc>
          <w:tcPr>
            <w:tcW w:w="2047" w:type="dxa"/>
            <w:vAlign w:val="center"/>
          </w:tcPr>
          <w:p w:rsidR="00346CB6" w:rsidRPr="00DE7070" w:rsidRDefault="00244DB6" w:rsidP="001C7F88">
            <w:pPr>
              <w:jc w:val="center"/>
            </w:pPr>
            <w:hyperlink r:id="rId92" w:history="1">
              <w:r w:rsidR="00346CB6" w:rsidRPr="00A64BAC">
                <w:rPr>
                  <w:rStyle w:val="Hyperlink"/>
                </w:rPr>
                <w:t>3</w:t>
              </w:r>
            </w:hyperlink>
          </w:p>
        </w:tc>
        <w:tc>
          <w:tcPr>
            <w:tcW w:w="1816" w:type="dxa"/>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c>
          <w:tcPr>
            <w:tcW w:w="0" w:type="auto"/>
            <w:vAlign w:val="center"/>
          </w:tcPr>
          <w:p w:rsidR="00346CB6" w:rsidRDefault="00346CB6" w:rsidP="001C7F88">
            <w:pPr>
              <w:jc w:val="center"/>
            </w:pPr>
          </w:p>
        </w:tc>
      </w:tr>
      <w:tr w:rsidR="00346CB6" w:rsidTr="001C7F88">
        <w:tc>
          <w:tcPr>
            <w:tcW w:w="0" w:type="auto"/>
            <w:vMerge/>
          </w:tcPr>
          <w:p w:rsidR="00346CB6" w:rsidRPr="00A64BAC" w:rsidRDefault="00346CB6" w:rsidP="001C7F88">
            <w:pPr>
              <w:jc w:val="right"/>
              <w:rPr>
                <w:b/>
              </w:rPr>
            </w:pPr>
          </w:p>
        </w:tc>
        <w:tc>
          <w:tcPr>
            <w:tcW w:w="0" w:type="auto"/>
            <w:gridSpan w:val="8"/>
            <w:vAlign w:val="center"/>
          </w:tcPr>
          <w:p w:rsidR="00346CB6" w:rsidRDefault="00346CB6" w:rsidP="00C96A58">
            <w:r w:rsidRPr="006D6F0D">
              <w:rPr>
                <w:color w:val="FF0000"/>
              </w:rPr>
              <w:t>IHE will determine whether course equivalent credit or credit in the major should be granted</w:t>
            </w:r>
            <w:r w:rsidR="00C96A58">
              <w:rPr>
                <w:color w:val="FF0000"/>
              </w:rPr>
              <w:t>, as well as</w:t>
            </w:r>
            <w:r w:rsidRPr="006D6F0D">
              <w:rPr>
                <w:color w:val="FF0000"/>
              </w:rPr>
              <w:t xml:space="preserve"> the AP score required to grant credit for those purposes.</w:t>
            </w:r>
          </w:p>
        </w:tc>
      </w:tr>
    </w:tbl>
    <w:p w:rsidR="00346CB6" w:rsidRDefault="00346CB6" w:rsidP="00346CB6"/>
    <w:p w:rsidR="00346CB6" w:rsidRDefault="00346CB6" w:rsidP="00346CB6">
      <w:pPr>
        <w:rPr>
          <w:b/>
          <w:u w:val="single"/>
        </w:rPr>
      </w:pPr>
      <w:r w:rsidRPr="006D6F0D">
        <w:rPr>
          <w:b/>
          <w:u w:val="single"/>
        </w:rPr>
        <w:t>Sources:</w:t>
      </w:r>
    </w:p>
    <w:p w:rsidR="00CB198A" w:rsidRPr="006D6F0D" w:rsidRDefault="00CB198A" w:rsidP="00346CB6">
      <w:pPr>
        <w:rPr>
          <w:b/>
          <w:u w:val="single"/>
        </w:rPr>
      </w:pPr>
    </w:p>
    <w:p w:rsidR="00346CB6" w:rsidRPr="00CB198A" w:rsidRDefault="00346CB6" w:rsidP="00346CB6">
      <w:pPr>
        <w:rPr>
          <w:rStyle w:val="Hyperlink"/>
          <w:sz w:val="24"/>
        </w:rPr>
      </w:pPr>
      <w:proofErr w:type="gramStart"/>
      <w:r w:rsidRPr="00CB198A">
        <w:rPr>
          <w:sz w:val="24"/>
        </w:rPr>
        <w:t>Education Commission of the States.</w:t>
      </w:r>
      <w:proofErr w:type="gramEnd"/>
      <w:r w:rsidRPr="00CB198A">
        <w:rPr>
          <w:sz w:val="24"/>
        </w:rPr>
        <w:t xml:space="preserve"> </w:t>
      </w:r>
      <w:proofErr w:type="gramStart"/>
      <w:r w:rsidRPr="00CB198A">
        <w:rPr>
          <w:sz w:val="24"/>
        </w:rPr>
        <w:t>(2014, May).</w:t>
      </w:r>
      <w:proofErr w:type="gramEnd"/>
      <w:r w:rsidRPr="00CB198A">
        <w:rPr>
          <w:sz w:val="24"/>
        </w:rPr>
        <w:t xml:space="preserve"> </w:t>
      </w:r>
      <w:proofErr w:type="gramStart"/>
      <w:r w:rsidRPr="00CB198A">
        <w:rPr>
          <w:i/>
          <w:sz w:val="24"/>
        </w:rPr>
        <w:t>50-State Analysis</w:t>
      </w:r>
      <w:r w:rsidRPr="00CB198A">
        <w:rPr>
          <w:sz w:val="24"/>
        </w:rPr>
        <w:t>.</w:t>
      </w:r>
      <w:proofErr w:type="gramEnd"/>
      <w:r w:rsidRPr="00CB198A">
        <w:rPr>
          <w:sz w:val="24"/>
        </w:rPr>
        <w:t xml:space="preserve"> At: </w:t>
      </w:r>
      <w:hyperlink r:id="rId93" w:history="1">
        <w:r w:rsidRPr="00CB198A">
          <w:rPr>
            <w:rStyle w:val="Hyperlink"/>
            <w:sz w:val="24"/>
          </w:rPr>
          <w:t>http://ecs.force.com/mbdata/mbquestRTL?rep=TA06</w:t>
        </w:r>
      </w:hyperlink>
    </w:p>
    <w:p w:rsidR="00346CB6" w:rsidRPr="00CB198A" w:rsidRDefault="00346CB6" w:rsidP="00346CB6">
      <w:pPr>
        <w:pStyle w:val="Default"/>
      </w:pPr>
      <w:proofErr w:type="gramStart"/>
      <w:r w:rsidRPr="00CB198A">
        <w:rPr>
          <w:color w:val="auto"/>
        </w:rPr>
        <w:t>College Board.</w:t>
      </w:r>
      <w:proofErr w:type="gramEnd"/>
      <w:r w:rsidRPr="00CB198A">
        <w:rPr>
          <w:color w:val="auto"/>
        </w:rPr>
        <w:t xml:space="preserve">  </w:t>
      </w:r>
      <w:proofErr w:type="gramStart"/>
      <w:r w:rsidRPr="00CB198A">
        <w:rPr>
          <w:bCs/>
          <w:i/>
          <w:color w:val="auto"/>
        </w:rPr>
        <w:t>State and System-wide AP Credit and Placement Policies</w:t>
      </w:r>
      <w:r w:rsidRPr="00CB198A">
        <w:rPr>
          <w:bCs/>
          <w:color w:val="auto"/>
        </w:rPr>
        <w:t>.</w:t>
      </w:r>
      <w:proofErr w:type="gramEnd"/>
      <w:r w:rsidRPr="00CB198A">
        <w:rPr>
          <w:bCs/>
          <w:color w:val="auto"/>
        </w:rPr>
        <w:t xml:space="preserve"> At:</w:t>
      </w:r>
      <w:r w:rsidRPr="00CB198A">
        <w:rPr>
          <w:b/>
          <w:bCs/>
          <w:color w:val="auto"/>
        </w:rPr>
        <w:t xml:space="preserve"> </w:t>
      </w:r>
      <w:r w:rsidRPr="00CB198A">
        <w:t>(</w:t>
      </w:r>
      <w:hyperlink r:id="rId94" w:history="1">
        <w:r w:rsidRPr="00CB198A">
          <w:rPr>
            <w:rStyle w:val="Hyperlink"/>
          </w:rPr>
          <w:t>http://www.google.com/url?sa=t&amp;rct=j&amp;q=&amp;esrc=s&amp;source=web&amp;cd=1&amp;cad=rja&amp;uact=8&amp;ved=0CCIQFjAA&amp;url=http%3A%2F%2Fmedi</w:t>
        </w:r>
        <w:r w:rsidRPr="00CB198A">
          <w:rPr>
            <w:rStyle w:val="Hyperlink"/>
          </w:rPr>
          <w:lastRenderedPageBreak/>
          <w:t>a.collegeboard.com%2FdigitalServices%2Fpdf%2Fap%2Fstate-ap-credit-placement-policies.pdf&amp;ei=-OS2VJ6LNImpgwTY_IGoDA&amp;usg=AFQjCNEO0soCLEat3W_xLfPSboOpSQc12A&amp;bvm=bv.83640239,d.eXY</w:t>
        </w:r>
      </w:hyperlink>
      <w:r w:rsidRPr="00CB198A">
        <w:t xml:space="preserve"> </w:t>
      </w:r>
    </w:p>
    <w:p w:rsidR="00346CB6" w:rsidRPr="00CB198A" w:rsidRDefault="00346CB6" w:rsidP="00346CB6">
      <w:pPr>
        <w:pStyle w:val="Default"/>
      </w:pPr>
    </w:p>
    <w:p w:rsidR="001C7F88" w:rsidRPr="00CB198A" w:rsidRDefault="001C7F88" w:rsidP="001C7F88">
      <w:pPr>
        <w:spacing w:after="345"/>
        <w:rPr>
          <w:sz w:val="24"/>
        </w:rPr>
      </w:pPr>
      <w:proofErr w:type="gramStart"/>
      <w:r w:rsidRPr="00CB198A">
        <w:rPr>
          <w:sz w:val="24"/>
        </w:rPr>
        <w:t>Sherman, A., B. Klein-Collins, and I. Palmer.</w:t>
      </w:r>
      <w:proofErr w:type="gramEnd"/>
      <w:r w:rsidRPr="00CB198A">
        <w:rPr>
          <w:sz w:val="24"/>
        </w:rPr>
        <w:t xml:space="preserve"> (2012). </w:t>
      </w:r>
      <w:r w:rsidRPr="00CB198A">
        <w:rPr>
          <w:i/>
          <w:sz w:val="24"/>
        </w:rPr>
        <w:t>State Policy Approaches to Support Prior Learning Assessment: A Resource Guide for State Leaders.</w:t>
      </w:r>
      <w:r w:rsidRPr="00CB198A">
        <w:rPr>
          <w:sz w:val="24"/>
        </w:rPr>
        <w:t xml:space="preserve"> Available online at: </w:t>
      </w:r>
      <w:hyperlink r:id="rId95" w:history="1">
        <w:r w:rsidRPr="00CB198A">
          <w:rPr>
            <w:rStyle w:val="Hyperlink"/>
            <w:sz w:val="24"/>
          </w:rPr>
          <w:t>http://strategylabs.luminafoundation.org/wp-content/uploads/2013/09/cp_resource_guide_final_0-copy.pdf</w:t>
        </w:r>
      </w:hyperlink>
    </w:p>
    <w:p w:rsidR="00346CB6" w:rsidRPr="00CB198A" w:rsidRDefault="00346CB6" w:rsidP="00346CB6">
      <w:pPr>
        <w:spacing w:after="345"/>
        <w:rPr>
          <w:bCs/>
          <w:iCs/>
          <w:sz w:val="24"/>
        </w:rPr>
      </w:pPr>
      <w:proofErr w:type="gramStart"/>
      <w:r w:rsidRPr="00CB198A">
        <w:rPr>
          <w:bCs/>
          <w:iCs/>
          <w:sz w:val="24"/>
        </w:rPr>
        <w:t>Strategy Labs.</w:t>
      </w:r>
      <w:proofErr w:type="gramEnd"/>
      <w:r w:rsidRPr="00CB198A">
        <w:rPr>
          <w:bCs/>
          <w:iCs/>
          <w:sz w:val="24"/>
        </w:rPr>
        <w:t xml:space="preserve"> (2014). Website: </w:t>
      </w:r>
      <w:r w:rsidRPr="00CB198A">
        <w:rPr>
          <w:i/>
          <w:sz w:val="24"/>
        </w:rPr>
        <w:t>Award Credit through Prior Learning Assessment</w:t>
      </w:r>
      <w:r w:rsidRPr="00CB198A">
        <w:rPr>
          <w:sz w:val="24"/>
        </w:rPr>
        <w:t xml:space="preserve">. Available online at: </w:t>
      </w:r>
      <w:hyperlink r:id="rId96" w:history="1">
        <w:r w:rsidRPr="00CB198A">
          <w:rPr>
            <w:rStyle w:val="Hyperlink"/>
            <w:bCs/>
            <w:iCs/>
            <w:sz w:val="24"/>
          </w:rPr>
          <w:t>http://strategylabs.luminafoundation.org/higher-education-state-policy-agenda/core-element-three/action-17/</w:t>
        </w:r>
      </w:hyperlink>
      <w:r w:rsidRPr="00CB198A">
        <w:rPr>
          <w:bCs/>
          <w:iCs/>
          <w:sz w:val="24"/>
        </w:rPr>
        <w:t xml:space="preserve"> </w:t>
      </w:r>
    </w:p>
    <w:p w:rsidR="00346CB6" w:rsidRPr="00CF236D" w:rsidRDefault="00346CB6" w:rsidP="00346CB6">
      <w:pPr>
        <w:pStyle w:val="Default"/>
      </w:pPr>
    </w:p>
    <w:p w:rsidR="00346CB6" w:rsidRDefault="00346CB6">
      <w:pPr>
        <w:rPr>
          <w:sz w:val="24"/>
        </w:rPr>
      </w:pPr>
      <w:r>
        <w:rPr>
          <w:sz w:val="24"/>
        </w:rPr>
        <w:br w:type="page"/>
      </w:r>
    </w:p>
    <w:p w:rsidR="00B57C75" w:rsidRDefault="00B57C75">
      <w:pPr>
        <w:rPr>
          <w:sz w:val="24"/>
        </w:rPr>
        <w:sectPr w:rsidR="00B57C75" w:rsidSect="00B57C75">
          <w:pgSz w:w="15840" w:h="12240" w:orient="landscape"/>
          <w:pgMar w:top="1440" w:right="720" w:bottom="1440" w:left="1440" w:header="720" w:footer="720" w:gutter="0"/>
          <w:cols w:space="720"/>
          <w:docGrid w:linePitch="360"/>
        </w:sectPr>
      </w:pPr>
    </w:p>
    <w:p w:rsidR="00FC5D4C" w:rsidRPr="00DC7758" w:rsidRDefault="00B23798" w:rsidP="00FC5D4C">
      <w:pPr>
        <w:pStyle w:val="NoSpacing"/>
        <w:jc w:val="center"/>
        <w:rPr>
          <w:b/>
          <w:sz w:val="24"/>
        </w:rPr>
      </w:pPr>
      <w:r>
        <w:rPr>
          <w:b/>
          <w:sz w:val="24"/>
        </w:rPr>
        <w:lastRenderedPageBreak/>
        <w:t>Appendix C</w:t>
      </w:r>
      <w:r w:rsidR="00FC5D4C">
        <w:rPr>
          <w:b/>
          <w:sz w:val="24"/>
        </w:rPr>
        <w:t xml:space="preserve">: </w:t>
      </w:r>
      <w:r w:rsidR="00FC5D4C" w:rsidRPr="00DC7758">
        <w:rPr>
          <w:b/>
          <w:sz w:val="24"/>
        </w:rPr>
        <w:t>Responses on PLA and Online Coursework from</w:t>
      </w:r>
    </w:p>
    <w:p w:rsidR="00FC5D4C" w:rsidRDefault="00FC5D4C" w:rsidP="00FC5D4C">
      <w:pPr>
        <w:pStyle w:val="NoSpacing"/>
        <w:jc w:val="center"/>
        <w:rPr>
          <w:b/>
          <w:sz w:val="24"/>
        </w:rPr>
      </w:pPr>
      <w:r w:rsidRPr="00DC7758">
        <w:rPr>
          <w:b/>
          <w:sz w:val="24"/>
        </w:rPr>
        <w:t>Accrediting Organizations Recognized by Council for Higher Education Accreditation (</w:t>
      </w:r>
      <w:hyperlink r:id="rId97" w:history="1">
        <w:r w:rsidRPr="00DC7758">
          <w:rPr>
            <w:rStyle w:val="Hyperlink"/>
            <w:b/>
            <w:sz w:val="24"/>
          </w:rPr>
          <w:t>www.chea.org</w:t>
        </w:r>
      </w:hyperlink>
      <w:r w:rsidRPr="00DC7758">
        <w:rPr>
          <w:b/>
          <w:sz w:val="24"/>
        </w:rPr>
        <w:t>)</w:t>
      </w:r>
      <w:r w:rsidR="00C8523D">
        <w:rPr>
          <w:b/>
          <w:sz w:val="24"/>
        </w:rPr>
        <w:t xml:space="preserve"> and University of Colorado Denver’s Schools of Health</w:t>
      </w:r>
    </w:p>
    <w:p w:rsidR="00C8523D" w:rsidRPr="00DC7758" w:rsidRDefault="00C8523D" w:rsidP="00FC5D4C">
      <w:pPr>
        <w:pStyle w:val="NoSpacing"/>
        <w:jc w:val="center"/>
        <w:rPr>
          <w:b/>
          <w:sz w:val="24"/>
        </w:rPr>
      </w:pPr>
    </w:p>
    <w:p w:rsidR="00FC5D4C" w:rsidRPr="00DC7758" w:rsidRDefault="00FC5D4C" w:rsidP="00FC5D4C">
      <w:r w:rsidRPr="00DC7758">
        <w:t xml:space="preserve">*Note: CHEA does not have a blanket statement or policy prohibiting or discouraging accreditors from allowing programs to accept or award credit for prior learning. In fact, CHEA is working on a Quality Platform that accreditors may use if they would like to help institutions in their review of extra institutional offerings in which students have participated (like PLA).  -- </w:t>
      </w:r>
      <w:r w:rsidRPr="00DC7758">
        <w:rPr>
          <w:bCs/>
        </w:rPr>
        <w:t xml:space="preserve">Jan Friis, </w:t>
      </w:r>
      <w:r w:rsidRPr="00DC7758">
        <w:t>Vice President for Government Affairs</w:t>
      </w:r>
    </w:p>
    <w:tbl>
      <w:tblPr>
        <w:tblStyle w:val="TableGrid"/>
        <w:tblW w:w="0" w:type="auto"/>
        <w:tblLook w:val="04A0" w:firstRow="1" w:lastRow="0" w:firstColumn="1" w:lastColumn="0" w:noHBand="0" w:noVBand="1"/>
      </w:tblPr>
      <w:tblGrid>
        <w:gridCol w:w="3238"/>
        <w:gridCol w:w="2175"/>
        <w:gridCol w:w="4163"/>
      </w:tblGrid>
      <w:tr w:rsidR="00961E23" w:rsidRPr="00DC7758" w:rsidTr="001C7F88">
        <w:tc>
          <w:tcPr>
            <w:tcW w:w="0" w:type="auto"/>
            <w:vAlign w:val="bottom"/>
          </w:tcPr>
          <w:p w:rsidR="00FC5D4C" w:rsidRPr="00DC7758" w:rsidRDefault="00FC5D4C" w:rsidP="001C7F88">
            <w:pPr>
              <w:jc w:val="center"/>
              <w:rPr>
                <w:b/>
              </w:rPr>
            </w:pPr>
            <w:r w:rsidRPr="00DC7758">
              <w:rPr>
                <w:b/>
              </w:rPr>
              <w:t>Accrediting Organization</w:t>
            </w:r>
          </w:p>
        </w:tc>
        <w:tc>
          <w:tcPr>
            <w:tcW w:w="0" w:type="auto"/>
            <w:vAlign w:val="bottom"/>
          </w:tcPr>
          <w:p w:rsidR="00FC5D4C" w:rsidRPr="00DC7758" w:rsidRDefault="00FC5D4C" w:rsidP="001C7F88">
            <w:pPr>
              <w:jc w:val="center"/>
              <w:rPr>
                <w:b/>
              </w:rPr>
            </w:pPr>
            <w:r w:rsidRPr="00DC7758">
              <w:rPr>
                <w:b/>
              </w:rPr>
              <w:t xml:space="preserve">Allows Online Coursework, </w:t>
            </w:r>
            <w:r>
              <w:rPr>
                <w:b/>
              </w:rPr>
              <w:t>including</w:t>
            </w:r>
            <w:r w:rsidRPr="00DC7758">
              <w:rPr>
                <w:b/>
              </w:rPr>
              <w:t xml:space="preserve"> Science Courses w/ Labs</w:t>
            </w:r>
          </w:p>
        </w:tc>
        <w:tc>
          <w:tcPr>
            <w:tcW w:w="0" w:type="auto"/>
            <w:vAlign w:val="bottom"/>
          </w:tcPr>
          <w:p w:rsidR="00FC5D4C" w:rsidRPr="00DC7758" w:rsidRDefault="00FC5D4C" w:rsidP="001C7F88">
            <w:pPr>
              <w:jc w:val="center"/>
              <w:rPr>
                <w:b/>
              </w:rPr>
            </w:pPr>
            <w:r w:rsidRPr="00DC7758">
              <w:rPr>
                <w:b/>
              </w:rPr>
              <w:t>Allows awarding of credit by Prior Learning Assessment (PLA)</w:t>
            </w:r>
          </w:p>
        </w:tc>
      </w:tr>
      <w:tr w:rsidR="00961E23" w:rsidRPr="00DC7758" w:rsidTr="001C7F88">
        <w:tc>
          <w:tcPr>
            <w:tcW w:w="0" w:type="auto"/>
          </w:tcPr>
          <w:p w:rsidR="00FC5D4C" w:rsidRPr="00DC7758" w:rsidRDefault="00FC5D4C" w:rsidP="001C7F88">
            <w:r>
              <w:t>Association to Advance Collegiate Schools of Business (AACSB International)</w:t>
            </w:r>
          </w:p>
        </w:tc>
        <w:tc>
          <w:tcPr>
            <w:tcW w:w="0" w:type="auto"/>
            <w:vAlign w:val="center"/>
          </w:tcPr>
          <w:p w:rsidR="00FC5D4C" w:rsidRPr="00DC7758" w:rsidRDefault="00FC5D4C" w:rsidP="001C7F88">
            <w:pPr>
              <w:jc w:val="center"/>
            </w:pPr>
            <w:r>
              <w:t>YES</w:t>
            </w:r>
          </w:p>
        </w:tc>
        <w:tc>
          <w:tcPr>
            <w:tcW w:w="0" w:type="auto"/>
            <w:vAlign w:val="center"/>
          </w:tcPr>
          <w:p w:rsidR="00FC5D4C" w:rsidRPr="00DC7758" w:rsidRDefault="00FC5D4C" w:rsidP="001C7F88">
            <w:pPr>
              <w:jc w:val="center"/>
            </w:pPr>
            <w:r>
              <w:t>YES</w:t>
            </w:r>
          </w:p>
        </w:tc>
      </w:tr>
      <w:tr w:rsidR="00961E23" w:rsidRPr="00DC7758" w:rsidTr="001C7F88">
        <w:tc>
          <w:tcPr>
            <w:tcW w:w="0" w:type="auto"/>
          </w:tcPr>
          <w:p w:rsidR="00FC5D4C" w:rsidRPr="00DC7758" w:rsidRDefault="00FC5D4C" w:rsidP="001C7F88">
            <w:r w:rsidRPr="00DC7758">
              <w:t>Accreditation Board for Engineering and Technology (ABET)</w:t>
            </w:r>
          </w:p>
        </w:tc>
        <w:tc>
          <w:tcPr>
            <w:tcW w:w="0" w:type="auto"/>
            <w:vAlign w:val="center"/>
          </w:tcPr>
          <w:p w:rsidR="00FC5D4C" w:rsidRPr="00DC7758" w:rsidRDefault="00FC5D4C" w:rsidP="001C7F88">
            <w:pPr>
              <w:jc w:val="center"/>
            </w:pPr>
            <w:r>
              <w:t>YES</w:t>
            </w:r>
          </w:p>
        </w:tc>
        <w:tc>
          <w:tcPr>
            <w:tcW w:w="0" w:type="auto"/>
            <w:vAlign w:val="center"/>
          </w:tcPr>
          <w:p w:rsidR="00FC5D4C" w:rsidRPr="00DC7758" w:rsidRDefault="00FC5D4C" w:rsidP="001C7F88">
            <w:pPr>
              <w:jc w:val="center"/>
            </w:pPr>
            <w:r w:rsidRPr="00DC7758">
              <w:t>YES</w:t>
            </w:r>
          </w:p>
        </w:tc>
      </w:tr>
      <w:tr w:rsidR="00961E23" w:rsidRPr="00DC7758" w:rsidTr="001C7F88">
        <w:tc>
          <w:tcPr>
            <w:tcW w:w="0" w:type="auto"/>
          </w:tcPr>
          <w:p w:rsidR="00FC5D4C" w:rsidRPr="00DC7758" w:rsidRDefault="00FC5D4C" w:rsidP="001C7F88">
            <w:r w:rsidRPr="00DC7758">
              <w:t>Accrediting Council on Education in Journalism and Mass Communication (ACEJMC)</w:t>
            </w:r>
          </w:p>
        </w:tc>
        <w:tc>
          <w:tcPr>
            <w:tcW w:w="0" w:type="auto"/>
            <w:vAlign w:val="center"/>
          </w:tcPr>
          <w:p w:rsidR="00FC5D4C" w:rsidRPr="00DC7758" w:rsidRDefault="00FC5D4C" w:rsidP="001C7F88">
            <w:pPr>
              <w:jc w:val="center"/>
            </w:pPr>
            <w:r w:rsidRPr="00DC7758">
              <w:t>YES</w:t>
            </w:r>
          </w:p>
        </w:tc>
        <w:tc>
          <w:tcPr>
            <w:tcW w:w="0" w:type="auto"/>
            <w:vAlign w:val="center"/>
          </w:tcPr>
          <w:p w:rsidR="00FC5D4C" w:rsidRPr="00DC7758" w:rsidRDefault="00FC5D4C" w:rsidP="001C7F88">
            <w:pPr>
              <w:jc w:val="center"/>
            </w:pPr>
            <w:r w:rsidRPr="00DC7758">
              <w:t>YES</w:t>
            </w:r>
          </w:p>
        </w:tc>
      </w:tr>
      <w:tr w:rsidR="00961E23" w:rsidRPr="00DC7758" w:rsidTr="001C7F88">
        <w:tc>
          <w:tcPr>
            <w:tcW w:w="0" w:type="auto"/>
          </w:tcPr>
          <w:p w:rsidR="00FC5D4C" w:rsidRPr="00DC7758" w:rsidRDefault="00FC5D4C" w:rsidP="001C7F88">
            <w:r>
              <w:t>Accreditation Commission for Education in Nursing (ACEN)</w:t>
            </w:r>
          </w:p>
        </w:tc>
        <w:tc>
          <w:tcPr>
            <w:tcW w:w="0" w:type="auto"/>
            <w:vAlign w:val="center"/>
          </w:tcPr>
          <w:p w:rsidR="00FC5D4C" w:rsidRPr="00DC7758" w:rsidRDefault="00FC5D4C" w:rsidP="001C7F88">
            <w:pPr>
              <w:jc w:val="center"/>
            </w:pPr>
            <w:r>
              <w:t>YES</w:t>
            </w:r>
          </w:p>
        </w:tc>
        <w:tc>
          <w:tcPr>
            <w:tcW w:w="0" w:type="auto"/>
            <w:vAlign w:val="center"/>
          </w:tcPr>
          <w:p w:rsidR="00FC5D4C" w:rsidRPr="00DC7758" w:rsidRDefault="00FC5D4C" w:rsidP="001C7F88">
            <w:pPr>
              <w:jc w:val="center"/>
            </w:pPr>
            <w:r>
              <w:t>YES</w:t>
            </w:r>
          </w:p>
        </w:tc>
      </w:tr>
      <w:tr w:rsidR="00961E23" w:rsidRPr="00DC7758" w:rsidTr="001C7F88">
        <w:tc>
          <w:tcPr>
            <w:tcW w:w="0" w:type="auto"/>
          </w:tcPr>
          <w:p w:rsidR="00FC5D4C" w:rsidRPr="00DC7758" w:rsidRDefault="00FC5D4C" w:rsidP="001C7F88">
            <w:r w:rsidRPr="00DC7758">
              <w:t>Accreditation Council for Pharmacy Education (ACPE)</w:t>
            </w:r>
          </w:p>
        </w:tc>
        <w:tc>
          <w:tcPr>
            <w:tcW w:w="0" w:type="auto"/>
            <w:vAlign w:val="center"/>
          </w:tcPr>
          <w:p w:rsidR="00FC5D4C" w:rsidRPr="00DC7758" w:rsidRDefault="00FC5D4C" w:rsidP="001C7F88">
            <w:pPr>
              <w:jc w:val="center"/>
            </w:pPr>
            <w:r>
              <w:t>YES</w:t>
            </w:r>
          </w:p>
        </w:tc>
        <w:tc>
          <w:tcPr>
            <w:tcW w:w="0" w:type="auto"/>
            <w:vAlign w:val="center"/>
          </w:tcPr>
          <w:p w:rsidR="00FC5D4C" w:rsidRPr="00DC7758" w:rsidRDefault="00FC5D4C" w:rsidP="001C7F88">
            <w:pPr>
              <w:jc w:val="center"/>
            </w:pPr>
            <w:r>
              <w:t>YES, however it likely would not shorten program seat time requirements</w:t>
            </w:r>
          </w:p>
        </w:tc>
      </w:tr>
      <w:tr w:rsidR="00961E23" w:rsidRPr="00DC7758" w:rsidTr="001C7F88">
        <w:tc>
          <w:tcPr>
            <w:tcW w:w="0" w:type="auto"/>
          </w:tcPr>
          <w:p w:rsidR="00FC5D4C" w:rsidRPr="00DC7758" w:rsidRDefault="00FC5D4C" w:rsidP="001C7F88">
            <w:r w:rsidRPr="00DC7758">
              <w:t>American Dental Education Association (ADEA)</w:t>
            </w:r>
          </w:p>
        </w:tc>
        <w:tc>
          <w:tcPr>
            <w:tcW w:w="0" w:type="auto"/>
            <w:vAlign w:val="center"/>
          </w:tcPr>
          <w:p w:rsidR="00FC5D4C" w:rsidRPr="00DC7758" w:rsidRDefault="00FC5D4C" w:rsidP="001C7F88">
            <w:pPr>
              <w:jc w:val="center"/>
            </w:pPr>
            <w:r w:rsidRPr="00DC7758">
              <w:t>YES</w:t>
            </w:r>
          </w:p>
        </w:tc>
        <w:tc>
          <w:tcPr>
            <w:tcW w:w="0" w:type="auto"/>
            <w:vAlign w:val="center"/>
          </w:tcPr>
          <w:p w:rsidR="00FC5D4C" w:rsidRPr="00DC7758" w:rsidRDefault="00FC5D4C" w:rsidP="001C7F88">
            <w:pPr>
              <w:jc w:val="center"/>
            </w:pPr>
            <w:r w:rsidRPr="00DC7758">
              <w:t>YES</w:t>
            </w:r>
          </w:p>
        </w:tc>
      </w:tr>
      <w:tr w:rsidR="00961E23" w:rsidRPr="00DC7758" w:rsidTr="001C7F88">
        <w:tc>
          <w:tcPr>
            <w:tcW w:w="0" w:type="auto"/>
          </w:tcPr>
          <w:p w:rsidR="00FC5D4C" w:rsidRPr="00DC7758" w:rsidRDefault="00FC5D4C" w:rsidP="001C7F88">
            <w:r w:rsidRPr="00DC7758">
              <w:t>American Medical College Application Service (AMCAS), a division of the  Association of American Medical Colleges  (AAMC)</w:t>
            </w:r>
          </w:p>
        </w:tc>
        <w:tc>
          <w:tcPr>
            <w:tcW w:w="0" w:type="auto"/>
            <w:vAlign w:val="center"/>
          </w:tcPr>
          <w:p w:rsidR="00FC5D4C" w:rsidRPr="00DC7758" w:rsidRDefault="00FC5D4C" w:rsidP="001C7F88">
            <w:pPr>
              <w:jc w:val="center"/>
            </w:pPr>
            <w:r w:rsidRPr="00DC7758">
              <w:t>YES</w:t>
            </w:r>
          </w:p>
        </w:tc>
        <w:tc>
          <w:tcPr>
            <w:tcW w:w="0" w:type="auto"/>
            <w:vAlign w:val="center"/>
          </w:tcPr>
          <w:p w:rsidR="00FC5D4C" w:rsidRPr="00DC7758" w:rsidRDefault="00FC5D4C" w:rsidP="001C7F88">
            <w:pPr>
              <w:jc w:val="center"/>
            </w:pPr>
            <w:r w:rsidRPr="00DC7758">
              <w:t>YES</w:t>
            </w:r>
          </w:p>
        </w:tc>
      </w:tr>
      <w:tr w:rsidR="00961E23" w:rsidRPr="00DC7758" w:rsidTr="001C7F88">
        <w:tc>
          <w:tcPr>
            <w:tcW w:w="0" w:type="auto"/>
          </w:tcPr>
          <w:p w:rsidR="00FC5D4C" w:rsidRPr="00DC7758" w:rsidRDefault="00FC5D4C" w:rsidP="001C7F88">
            <w:r w:rsidRPr="00CB198A">
              <w:rPr>
                <w:rFonts w:cs="Arial"/>
              </w:rPr>
              <w:t>American Psychological Association</w:t>
            </w:r>
            <w:r w:rsidRPr="00DC7758">
              <w:t xml:space="preserve"> (APA)</w:t>
            </w:r>
          </w:p>
        </w:tc>
        <w:tc>
          <w:tcPr>
            <w:tcW w:w="0" w:type="auto"/>
            <w:vAlign w:val="center"/>
          </w:tcPr>
          <w:p w:rsidR="00FC5D4C" w:rsidRPr="00DC7758" w:rsidRDefault="00FC5D4C" w:rsidP="001C7F88">
            <w:pPr>
              <w:jc w:val="center"/>
            </w:pPr>
            <w:r w:rsidRPr="00DC7758">
              <w:t>YES</w:t>
            </w:r>
          </w:p>
        </w:tc>
        <w:tc>
          <w:tcPr>
            <w:tcW w:w="0" w:type="auto"/>
            <w:vAlign w:val="center"/>
          </w:tcPr>
          <w:p w:rsidR="00FC5D4C" w:rsidRPr="00DC7758" w:rsidRDefault="00FC5D4C" w:rsidP="001C7F88">
            <w:pPr>
              <w:jc w:val="center"/>
            </w:pPr>
            <w:r w:rsidRPr="00DC7758">
              <w:t>YES</w:t>
            </w:r>
          </w:p>
        </w:tc>
      </w:tr>
      <w:tr w:rsidR="00961E23" w:rsidRPr="00DC7758" w:rsidTr="001C7F88">
        <w:tc>
          <w:tcPr>
            <w:tcW w:w="0" w:type="auto"/>
          </w:tcPr>
          <w:p w:rsidR="00FC5D4C" w:rsidRPr="00DC7758" w:rsidRDefault="00FC5D4C" w:rsidP="001C7F88">
            <w:r w:rsidRPr="00DC7758">
              <w:t>American Podiatric Medical Association (APMA)</w:t>
            </w:r>
          </w:p>
        </w:tc>
        <w:tc>
          <w:tcPr>
            <w:tcW w:w="0" w:type="auto"/>
            <w:vAlign w:val="center"/>
          </w:tcPr>
          <w:p w:rsidR="00FC5D4C" w:rsidRPr="00DC7758" w:rsidRDefault="00FC5D4C" w:rsidP="001C7F88">
            <w:pPr>
              <w:jc w:val="center"/>
            </w:pPr>
            <w:r w:rsidRPr="00DC7758">
              <w:t>YES</w:t>
            </w:r>
          </w:p>
        </w:tc>
        <w:tc>
          <w:tcPr>
            <w:tcW w:w="0" w:type="auto"/>
            <w:vAlign w:val="center"/>
          </w:tcPr>
          <w:p w:rsidR="00FC5D4C" w:rsidRPr="00DC7758" w:rsidRDefault="00FC5D4C" w:rsidP="001C7F88">
            <w:pPr>
              <w:jc w:val="center"/>
            </w:pPr>
            <w:r w:rsidRPr="00DC7758">
              <w:t>YES</w:t>
            </w:r>
          </w:p>
        </w:tc>
      </w:tr>
      <w:tr w:rsidR="00961E23" w:rsidRPr="00DC7758" w:rsidTr="001C7F88">
        <w:tc>
          <w:tcPr>
            <w:tcW w:w="0" w:type="auto"/>
          </w:tcPr>
          <w:p w:rsidR="00FC5D4C" w:rsidRPr="00DC7758" w:rsidRDefault="00FC5D4C" w:rsidP="001C7F88">
            <w:r w:rsidRPr="00DC7758">
              <w:t>Association of Technology, Management, and Applied Engineering (ATMAE)</w:t>
            </w:r>
          </w:p>
        </w:tc>
        <w:tc>
          <w:tcPr>
            <w:tcW w:w="0" w:type="auto"/>
            <w:vAlign w:val="center"/>
          </w:tcPr>
          <w:p w:rsidR="00FC5D4C" w:rsidRPr="00DC7758" w:rsidRDefault="00FC5D4C" w:rsidP="001C7F88">
            <w:pPr>
              <w:jc w:val="center"/>
            </w:pPr>
            <w:r w:rsidRPr="00DC7758">
              <w:t>YES</w:t>
            </w:r>
          </w:p>
        </w:tc>
        <w:tc>
          <w:tcPr>
            <w:tcW w:w="0" w:type="auto"/>
            <w:vAlign w:val="center"/>
          </w:tcPr>
          <w:p w:rsidR="00FC5D4C" w:rsidRPr="00DC7758" w:rsidRDefault="00FC5D4C" w:rsidP="001C7F88">
            <w:pPr>
              <w:jc w:val="center"/>
            </w:pPr>
            <w:r w:rsidRPr="00DC7758">
              <w:t>YES</w:t>
            </w:r>
          </w:p>
        </w:tc>
      </w:tr>
      <w:tr w:rsidR="00961E23" w:rsidRPr="00DC7758" w:rsidTr="001C7F88">
        <w:tc>
          <w:tcPr>
            <w:tcW w:w="0" w:type="auto"/>
          </w:tcPr>
          <w:p w:rsidR="00FC5D4C" w:rsidRPr="00DC7758" w:rsidRDefault="00FC5D4C" w:rsidP="001C7F88">
            <w:r w:rsidRPr="00DC7758">
              <w:t>Council for Accreditation of Counseling and Related Educational Programs (CACREP)</w:t>
            </w:r>
          </w:p>
        </w:tc>
        <w:tc>
          <w:tcPr>
            <w:tcW w:w="0" w:type="auto"/>
            <w:vAlign w:val="center"/>
          </w:tcPr>
          <w:p w:rsidR="00FC5D4C" w:rsidRPr="00DC7758" w:rsidRDefault="00FC5D4C" w:rsidP="001C7F88">
            <w:pPr>
              <w:jc w:val="center"/>
            </w:pPr>
            <w:r w:rsidRPr="00DC7758">
              <w:t>YES</w:t>
            </w:r>
          </w:p>
        </w:tc>
        <w:tc>
          <w:tcPr>
            <w:tcW w:w="0" w:type="auto"/>
            <w:vAlign w:val="center"/>
          </w:tcPr>
          <w:p w:rsidR="00FC5D4C" w:rsidRPr="00DC7758" w:rsidRDefault="00FC5D4C" w:rsidP="001C7F88">
            <w:pPr>
              <w:jc w:val="center"/>
            </w:pPr>
            <w:r w:rsidRPr="00DC7758">
              <w:t>YES</w:t>
            </w:r>
          </w:p>
        </w:tc>
      </w:tr>
      <w:tr w:rsidR="00961E23" w:rsidRPr="00DC7758" w:rsidTr="001C7F88">
        <w:tc>
          <w:tcPr>
            <w:tcW w:w="0" w:type="auto"/>
          </w:tcPr>
          <w:p w:rsidR="00FC5D4C" w:rsidRPr="00DC7758" w:rsidRDefault="00FC5D4C" w:rsidP="001C7F88">
            <w:r w:rsidRPr="00DC7758">
              <w:t xml:space="preserve">Commission on </w:t>
            </w:r>
            <w:proofErr w:type="spellStart"/>
            <w:r w:rsidRPr="00DC7758">
              <w:t>Opticianry</w:t>
            </w:r>
            <w:proofErr w:type="spellEnd"/>
            <w:r w:rsidRPr="00DC7758">
              <w:t xml:space="preserve"> Accreditation</w:t>
            </w:r>
          </w:p>
        </w:tc>
        <w:tc>
          <w:tcPr>
            <w:tcW w:w="0" w:type="auto"/>
            <w:vAlign w:val="center"/>
          </w:tcPr>
          <w:p w:rsidR="00FC5D4C" w:rsidRPr="00DC7758" w:rsidRDefault="00FC5D4C" w:rsidP="001C7F88">
            <w:pPr>
              <w:jc w:val="center"/>
            </w:pPr>
            <w:r w:rsidRPr="00DC7758">
              <w:t>YES</w:t>
            </w:r>
          </w:p>
        </w:tc>
        <w:tc>
          <w:tcPr>
            <w:tcW w:w="0" w:type="auto"/>
            <w:vAlign w:val="center"/>
          </w:tcPr>
          <w:p w:rsidR="00FC5D4C" w:rsidRPr="00DC7758" w:rsidRDefault="00FC5D4C" w:rsidP="001C7F88">
            <w:pPr>
              <w:jc w:val="center"/>
            </w:pPr>
            <w:r w:rsidRPr="00DC7758">
              <w:t>YES</w:t>
            </w:r>
          </w:p>
        </w:tc>
      </w:tr>
      <w:tr w:rsidR="00961E23" w:rsidRPr="00DC7758" w:rsidTr="001C7F88">
        <w:tc>
          <w:tcPr>
            <w:tcW w:w="0" w:type="auto"/>
          </w:tcPr>
          <w:p w:rsidR="00FC5D4C" w:rsidRPr="005C129D" w:rsidRDefault="00FC5D4C" w:rsidP="001C7F88">
            <w:pPr>
              <w:rPr>
                <w:b/>
              </w:rPr>
            </w:pPr>
            <w:r w:rsidRPr="005C129D">
              <w:rPr>
                <w:rStyle w:val="Strong"/>
                <w:rFonts w:cs="Arial"/>
                <w:b w:val="0"/>
                <w:bdr w:val="none" w:sz="0" w:space="0" w:color="auto" w:frame="1"/>
                <w:shd w:val="clear" w:color="auto" w:fill="FFFFFF"/>
              </w:rPr>
              <w:t>Council on Accreditation of Parks, Recreation, Tourism and Related Professions (COAPRT)</w:t>
            </w:r>
          </w:p>
        </w:tc>
        <w:tc>
          <w:tcPr>
            <w:tcW w:w="0" w:type="auto"/>
            <w:vAlign w:val="center"/>
          </w:tcPr>
          <w:p w:rsidR="00FC5D4C" w:rsidRPr="00DC7758" w:rsidRDefault="00FC5D4C" w:rsidP="001C7F88">
            <w:pPr>
              <w:jc w:val="center"/>
            </w:pPr>
            <w:r w:rsidRPr="00DC7758">
              <w:t>YES</w:t>
            </w:r>
          </w:p>
        </w:tc>
        <w:tc>
          <w:tcPr>
            <w:tcW w:w="0" w:type="auto"/>
            <w:vAlign w:val="center"/>
          </w:tcPr>
          <w:p w:rsidR="00FC5D4C" w:rsidRPr="00DC7758" w:rsidRDefault="00FC5D4C" w:rsidP="001C7F88">
            <w:pPr>
              <w:jc w:val="center"/>
            </w:pPr>
            <w:r w:rsidRPr="00DC7758">
              <w:t>YES</w:t>
            </w:r>
          </w:p>
        </w:tc>
      </w:tr>
      <w:tr w:rsidR="00961E23" w:rsidRPr="00DC7758" w:rsidTr="001C7F88">
        <w:tc>
          <w:tcPr>
            <w:tcW w:w="0" w:type="auto"/>
          </w:tcPr>
          <w:p w:rsidR="00FC5D4C" w:rsidRPr="008E7926" w:rsidRDefault="00FC5D4C" w:rsidP="001C7F88">
            <w:r w:rsidRPr="008E7926">
              <w:lastRenderedPageBreak/>
              <w:t xml:space="preserve">Council on Social Work Education (CSWE) </w:t>
            </w:r>
          </w:p>
        </w:tc>
        <w:tc>
          <w:tcPr>
            <w:tcW w:w="0" w:type="auto"/>
            <w:vAlign w:val="center"/>
          </w:tcPr>
          <w:p w:rsidR="00FC5D4C" w:rsidRPr="00DC7758" w:rsidRDefault="00FC5D4C" w:rsidP="001C7F88">
            <w:pPr>
              <w:jc w:val="center"/>
            </w:pPr>
            <w:r w:rsidRPr="00DC7758">
              <w:t>YES</w:t>
            </w:r>
          </w:p>
        </w:tc>
        <w:tc>
          <w:tcPr>
            <w:tcW w:w="0" w:type="auto"/>
            <w:vAlign w:val="center"/>
          </w:tcPr>
          <w:p w:rsidR="00FC5D4C" w:rsidRPr="00DC7758" w:rsidRDefault="00FC5D4C" w:rsidP="001C7F88">
            <w:pPr>
              <w:jc w:val="center"/>
            </w:pPr>
            <w:r w:rsidRPr="00DC7758">
              <w:t>NO, but</w:t>
            </w:r>
            <w:r w:rsidR="00961E23">
              <w:t xml:space="preserve"> only for Social Work coursework. </w:t>
            </w:r>
            <w:r w:rsidRPr="00DC7758">
              <w:t xml:space="preserve"> </w:t>
            </w:r>
            <w:r w:rsidR="00961E23">
              <w:t xml:space="preserve">CSWE explains, </w:t>
            </w:r>
            <w:r w:rsidRPr="00DC7758">
              <w:t>“</w:t>
            </w:r>
            <w:r w:rsidR="00961E23">
              <w:t xml:space="preserve">[We] are </w:t>
            </w:r>
            <w:r w:rsidRPr="00DC7758">
              <w:rPr>
                <w:rFonts w:cs="Arial"/>
              </w:rPr>
              <w:t>currently in a standards revision process and are looking at this standard given the increase in prior learning and direct assessment programs.”</w:t>
            </w:r>
          </w:p>
        </w:tc>
      </w:tr>
      <w:tr w:rsidR="00961E23" w:rsidRPr="00DC7758" w:rsidTr="001C7F88">
        <w:tc>
          <w:tcPr>
            <w:tcW w:w="0" w:type="auto"/>
          </w:tcPr>
          <w:p w:rsidR="00FC5D4C" w:rsidRPr="008E7926" w:rsidRDefault="00FC5D4C" w:rsidP="001C7F88">
            <w:r w:rsidRPr="008E7926">
              <w:t>International Assembly for Collegiate Business Education (IACBE)</w:t>
            </w:r>
          </w:p>
        </w:tc>
        <w:tc>
          <w:tcPr>
            <w:tcW w:w="0" w:type="auto"/>
            <w:vAlign w:val="center"/>
          </w:tcPr>
          <w:p w:rsidR="00FC5D4C" w:rsidRPr="00DC7758" w:rsidRDefault="00FC5D4C" w:rsidP="001C7F88">
            <w:pPr>
              <w:jc w:val="center"/>
            </w:pPr>
            <w:r>
              <w:t>YES</w:t>
            </w:r>
          </w:p>
        </w:tc>
        <w:tc>
          <w:tcPr>
            <w:tcW w:w="0" w:type="auto"/>
            <w:vAlign w:val="center"/>
          </w:tcPr>
          <w:p w:rsidR="00FC5D4C" w:rsidRPr="00DC7758" w:rsidRDefault="00FC5D4C" w:rsidP="001C7F88">
            <w:pPr>
              <w:jc w:val="center"/>
            </w:pPr>
            <w:r>
              <w:t>YES</w:t>
            </w:r>
          </w:p>
        </w:tc>
      </w:tr>
      <w:tr w:rsidR="00961E23" w:rsidRPr="00DC7758" w:rsidTr="001C7F88">
        <w:tc>
          <w:tcPr>
            <w:tcW w:w="0" w:type="auto"/>
          </w:tcPr>
          <w:p w:rsidR="00FC5D4C" w:rsidRPr="008E7926" w:rsidRDefault="00FC5D4C" w:rsidP="001C7F88">
            <w:pPr>
              <w:rPr>
                <w:b/>
              </w:rPr>
            </w:pPr>
            <w:r w:rsidRPr="008E7926">
              <w:rPr>
                <w:rStyle w:val="Emphasis"/>
                <w:rFonts w:cs="Arial"/>
              </w:rPr>
              <w:t>National Accrediting Agency for Clinical Laboratory Sciences</w:t>
            </w:r>
            <w:r w:rsidRPr="008E7926">
              <w:rPr>
                <w:rStyle w:val="st1"/>
                <w:rFonts w:cs="Arial"/>
                <w:b/>
              </w:rPr>
              <w:t xml:space="preserve"> (</w:t>
            </w:r>
            <w:r w:rsidRPr="008E7926">
              <w:rPr>
                <w:rStyle w:val="Emphasis"/>
                <w:rFonts w:cs="Arial"/>
              </w:rPr>
              <w:t>NAACLS</w:t>
            </w:r>
            <w:r w:rsidRPr="008E7926">
              <w:rPr>
                <w:rStyle w:val="st1"/>
                <w:rFonts w:cs="Arial"/>
                <w:b/>
              </w:rPr>
              <w:t>)</w:t>
            </w:r>
          </w:p>
        </w:tc>
        <w:tc>
          <w:tcPr>
            <w:tcW w:w="0" w:type="auto"/>
            <w:vAlign w:val="center"/>
          </w:tcPr>
          <w:p w:rsidR="00FC5D4C" w:rsidRPr="00DC7758" w:rsidRDefault="00FC5D4C" w:rsidP="001C7F88">
            <w:pPr>
              <w:jc w:val="center"/>
            </w:pPr>
            <w:r w:rsidRPr="00DC7758">
              <w:t>YES</w:t>
            </w:r>
          </w:p>
        </w:tc>
        <w:tc>
          <w:tcPr>
            <w:tcW w:w="0" w:type="auto"/>
            <w:vAlign w:val="center"/>
          </w:tcPr>
          <w:p w:rsidR="00FC5D4C" w:rsidRPr="00DC7758" w:rsidRDefault="00FC5D4C" w:rsidP="001C7F88">
            <w:pPr>
              <w:jc w:val="center"/>
            </w:pPr>
            <w:r w:rsidRPr="00DC7758">
              <w:t>YES</w:t>
            </w:r>
          </w:p>
        </w:tc>
      </w:tr>
      <w:tr w:rsidR="00961E23" w:rsidRPr="00DC7758" w:rsidTr="001C7F88">
        <w:tc>
          <w:tcPr>
            <w:tcW w:w="0" w:type="auto"/>
          </w:tcPr>
          <w:p w:rsidR="00FC5D4C" w:rsidRPr="00DC7758" w:rsidRDefault="00FC5D4C" w:rsidP="001C7F88">
            <w:r w:rsidRPr="00DC7758">
              <w:t>Network of Schools of Public Policy, Affairs, and Administration (NASPAA-COPRA)</w:t>
            </w:r>
          </w:p>
        </w:tc>
        <w:tc>
          <w:tcPr>
            <w:tcW w:w="0" w:type="auto"/>
            <w:vAlign w:val="center"/>
          </w:tcPr>
          <w:p w:rsidR="00FC5D4C" w:rsidRPr="00DC7758" w:rsidRDefault="00FC5D4C" w:rsidP="001C7F88">
            <w:pPr>
              <w:jc w:val="center"/>
            </w:pPr>
            <w:r w:rsidRPr="00DC7758">
              <w:t>YES</w:t>
            </w:r>
          </w:p>
        </w:tc>
        <w:tc>
          <w:tcPr>
            <w:tcW w:w="0" w:type="auto"/>
            <w:vAlign w:val="center"/>
          </w:tcPr>
          <w:p w:rsidR="00FC5D4C" w:rsidRPr="00DC7758" w:rsidRDefault="00FC5D4C" w:rsidP="001C7F88">
            <w:pPr>
              <w:jc w:val="center"/>
            </w:pPr>
            <w:r w:rsidRPr="00DC7758">
              <w:t>YES</w:t>
            </w:r>
          </w:p>
        </w:tc>
      </w:tr>
    </w:tbl>
    <w:p w:rsidR="00FC5D4C" w:rsidRDefault="00FC5D4C" w:rsidP="00FC5D4C"/>
    <w:p w:rsidR="00C8523D" w:rsidRPr="00DC7758" w:rsidRDefault="00C8523D" w:rsidP="00FC5D4C"/>
    <w:p w:rsidR="00FC5D4C" w:rsidRPr="00DC7758" w:rsidRDefault="00C8523D" w:rsidP="00FC5D4C">
      <w:r>
        <w:rPr>
          <w:b/>
          <w:sz w:val="24"/>
        </w:rPr>
        <w:t>University of Colorado Denver’s Schools of Health:</w:t>
      </w:r>
    </w:p>
    <w:tbl>
      <w:tblPr>
        <w:tblStyle w:val="TableGrid"/>
        <w:tblW w:w="0" w:type="auto"/>
        <w:tblLook w:val="04A0" w:firstRow="1" w:lastRow="0" w:firstColumn="1" w:lastColumn="0" w:noHBand="0" w:noVBand="1"/>
      </w:tblPr>
      <w:tblGrid>
        <w:gridCol w:w="2779"/>
        <w:gridCol w:w="3191"/>
        <w:gridCol w:w="3606"/>
      </w:tblGrid>
      <w:tr w:rsidR="00C96A58" w:rsidRPr="00DC7758" w:rsidTr="001C7F88">
        <w:tc>
          <w:tcPr>
            <w:tcW w:w="0" w:type="auto"/>
            <w:vAlign w:val="bottom"/>
          </w:tcPr>
          <w:p w:rsidR="00FC5D4C" w:rsidRPr="00DC7758" w:rsidRDefault="00FC5D4C" w:rsidP="001C7F88">
            <w:pPr>
              <w:jc w:val="center"/>
              <w:rPr>
                <w:b/>
              </w:rPr>
            </w:pPr>
            <w:r w:rsidRPr="00DC7758">
              <w:rPr>
                <w:b/>
              </w:rPr>
              <w:t>School</w:t>
            </w:r>
          </w:p>
        </w:tc>
        <w:tc>
          <w:tcPr>
            <w:tcW w:w="0" w:type="auto"/>
            <w:vAlign w:val="bottom"/>
          </w:tcPr>
          <w:p w:rsidR="00FC5D4C" w:rsidRPr="00DC7758" w:rsidRDefault="00FC5D4C" w:rsidP="001C7F88">
            <w:pPr>
              <w:jc w:val="center"/>
              <w:rPr>
                <w:b/>
              </w:rPr>
            </w:pPr>
            <w:r w:rsidRPr="00DC7758">
              <w:rPr>
                <w:b/>
              </w:rPr>
              <w:t>Allows Online Coursework,</w:t>
            </w:r>
            <w:r>
              <w:rPr>
                <w:b/>
              </w:rPr>
              <w:t xml:space="preserve"> including</w:t>
            </w:r>
            <w:r w:rsidRPr="00DC7758">
              <w:rPr>
                <w:b/>
              </w:rPr>
              <w:t xml:space="preserve"> Science Courses w/ Labs</w:t>
            </w:r>
          </w:p>
        </w:tc>
        <w:tc>
          <w:tcPr>
            <w:tcW w:w="0" w:type="auto"/>
            <w:vAlign w:val="bottom"/>
          </w:tcPr>
          <w:p w:rsidR="00FC5D4C" w:rsidRPr="00DC7758" w:rsidRDefault="00C96A58" w:rsidP="00C96A58">
            <w:pPr>
              <w:jc w:val="center"/>
              <w:rPr>
                <w:b/>
              </w:rPr>
            </w:pPr>
            <w:r>
              <w:rPr>
                <w:b/>
              </w:rPr>
              <w:t>Accepts C</w:t>
            </w:r>
            <w:r w:rsidR="00FC5D4C" w:rsidRPr="00DC7758">
              <w:rPr>
                <w:b/>
              </w:rPr>
              <w:t>redit</w:t>
            </w:r>
            <w:r>
              <w:rPr>
                <w:b/>
              </w:rPr>
              <w:t xml:space="preserve"> Awarded</w:t>
            </w:r>
            <w:r w:rsidR="00FC5D4C" w:rsidRPr="00DC7758">
              <w:rPr>
                <w:b/>
              </w:rPr>
              <w:t xml:space="preserve"> </w:t>
            </w:r>
            <w:r>
              <w:rPr>
                <w:b/>
              </w:rPr>
              <w:t>through</w:t>
            </w:r>
            <w:r w:rsidR="00FC5D4C" w:rsidRPr="00DC7758">
              <w:rPr>
                <w:b/>
              </w:rPr>
              <w:t xml:space="preserve"> PLA</w:t>
            </w:r>
            <w:r>
              <w:rPr>
                <w:b/>
              </w:rPr>
              <w:t xml:space="preserve"> in undergraduate pre-requisites</w:t>
            </w:r>
          </w:p>
        </w:tc>
      </w:tr>
      <w:tr w:rsidR="00C96A58" w:rsidRPr="00DC7758" w:rsidTr="001C7F88">
        <w:tc>
          <w:tcPr>
            <w:tcW w:w="0" w:type="auto"/>
          </w:tcPr>
          <w:p w:rsidR="00FC5D4C" w:rsidRPr="00DC7758" w:rsidRDefault="00FC5D4C" w:rsidP="001C7F88">
            <w:r w:rsidRPr="00DC7758">
              <w:t>University of Colorado School of Dental Medicine</w:t>
            </w:r>
          </w:p>
        </w:tc>
        <w:tc>
          <w:tcPr>
            <w:tcW w:w="0" w:type="auto"/>
            <w:vAlign w:val="center"/>
          </w:tcPr>
          <w:p w:rsidR="00FC5D4C" w:rsidRPr="00DC7758" w:rsidRDefault="00FC5D4C" w:rsidP="001C7F88">
            <w:pPr>
              <w:jc w:val="center"/>
            </w:pPr>
            <w:r w:rsidRPr="00DC7758">
              <w:t>YES</w:t>
            </w:r>
          </w:p>
        </w:tc>
        <w:tc>
          <w:tcPr>
            <w:tcW w:w="0" w:type="auto"/>
            <w:vAlign w:val="center"/>
          </w:tcPr>
          <w:p w:rsidR="00FC5D4C" w:rsidRPr="00DC7758" w:rsidRDefault="00FC5D4C" w:rsidP="001C7F88">
            <w:pPr>
              <w:jc w:val="center"/>
            </w:pPr>
            <w:r>
              <w:t>AP</w:t>
            </w:r>
            <w:r w:rsidRPr="00DC7758">
              <w:t> </w:t>
            </w:r>
          </w:p>
        </w:tc>
      </w:tr>
      <w:tr w:rsidR="00C96A58" w:rsidRPr="00DC7758" w:rsidTr="001C7F88">
        <w:tc>
          <w:tcPr>
            <w:tcW w:w="0" w:type="auto"/>
          </w:tcPr>
          <w:p w:rsidR="00FC5D4C" w:rsidRPr="00DC7758" w:rsidRDefault="00FC5D4C" w:rsidP="001C7F88">
            <w:r w:rsidRPr="00DC7758">
              <w:t>University of Colorado School of Medicine</w:t>
            </w:r>
          </w:p>
        </w:tc>
        <w:tc>
          <w:tcPr>
            <w:tcW w:w="0" w:type="auto"/>
            <w:vAlign w:val="center"/>
          </w:tcPr>
          <w:p w:rsidR="00FC5D4C" w:rsidRPr="00DC7758" w:rsidRDefault="00FC5D4C" w:rsidP="001C7F88">
            <w:pPr>
              <w:jc w:val="center"/>
            </w:pPr>
            <w:r w:rsidRPr="00DC7758">
              <w:t>YES</w:t>
            </w:r>
          </w:p>
        </w:tc>
        <w:tc>
          <w:tcPr>
            <w:tcW w:w="0" w:type="auto"/>
            <w:vAlign w:val="center"/>
          </w:tcPr>
          <w:p w:rsidR="00FC5D4C" w:rsidRPr="00DC7758" w:rsidRDefault="00FC5D4C" w:rsidP="001C7F88">
            <w:pPr>
              <w:jc w:val="center"/>
            </w:pPr>
            <w:r>
              <w:t>AP and IB</w:t>
            </w:r>
          </w:p>
        </w:tc>
      </w:tr>
      <w:tr w:rsidR="00C96A58" w:rsidRPr="00DC7758" w:rsidTr="001C7F88">
        <w:tc>
          <w:tcPr>
            <w:tcW w:w="0" w:type="auto"/>
          </w:tcPr>
          <w:p w:rsidR="00FC5D4C" w:rsidRPr="00DC7758" w:rsidRDefault="00FC5D4C" w:rsidP="001C7F88">
            <w:r w:rsidRPr="00DC7758">
              <w:t>University of Colorado School of Public Health</w:t>
            </w:r>
          </w:p>
        </w:tc>
        <w:tc>
          <w:tcPr>
            <w:tcW w:w="0" w:type="auto"/>
            <w:vAlign w:val="center"/>
          </w:tcPr>
          <w:p w:rsidR="00FC5D4C" w:rsidRPr="00DC7758" w:rsidRDefault="00FC5D4C" w:rsidP="001C7F88">
            <w:pPr>
              <w:jc w:val="center"/>
            </w:pPr>
            <w:r w:rsidRPr="00DC7758">
              <w:t>YES</w:t>
            </w:r>
          </w:p>
        </w:tc>
        <w:tc>
          <w:tcPr>
            <w:tcW w:w="0" w:type="auto"/>
            <w:vAlign w:val="center"/>
          </w:tcPr>
          <w:p w:rsidR="00FC5D4C" w:rsidRPr="00DC7758" w:rsidRDefault="00FC5D4C" w:rsidP="001C7F88">
            <w:pPr>
              <w:jc w:val="center"/>
            </w:pPr>
            <w:r w:rsidRPr="00DC7758">
              <w:t>YES</w:t>
            </w:r>
          </w:p>
        </w:tc>
      </w:tr>
      <w:tr w:rsidR="00C96A58" w:rsidRPr="00DC7758" w:rsidTr="001C7F88">
        <w:tc>
          <w:tcPr>
            <w:tcW w:w="0" w:type="auto"/>
          </w:tcPr>
          <w:p w:rsidR="00FC5D4C" w:rsidRPr="00DC7758" w:rsidRDefault="00FC5D4C" w:rsidP="001C7F88">
            <w:r w:rsidRPr="00DC7758">
              <w:t>University of Colorado Denver Skaggs School of Pharmacy</w:t>
            </w:r>
          </w:p>
          <w:p w:rsidR="00FC5D4C" w:rsidRPr="00DC7758" w:rsidRDefault="00FC5D4C" w:rsidP="001C7F88"/>
        </w:tc>
        <w:tc>
          <w:tcPr>
            <w:tcW w:w="0" w:type="auto"/>
            <w:vAlign w:val="center"/>
          </w:tcPr>
          <w:p w:rsidR="00FC5D4C" w:rsidRPr="00DC7758" w:rsidRDefault="00FC5D4C" w:rsidP="001C7F88">
            <w:pPr>
              <w:jc w:val="center"/>
            </w:pPr>
            <w:r w:rsidRPr="00DC7758">
              <w:t>NO</w:t>
            </w:r>
          </w:p>
        </w:tc>
        <w:tc>
          <w:tcPr>
            <w:tcW w:w="0" w:type="auto"/>
            <w:vAlign w:val="center"/>
          </w:tcPr>
          <w:p w:rsidR="00FC5D4C" w:rsidRPr="00DC7758" w:rsidRDefault="00FC5D4C" w:rsidP="001C7F88">
            <w:pPr>
              <w:jc w:val="center"/>
            </w:pPr>
            <w:r w:rsidRPr="00DC7758">
              <w:t>AP – YES</w:t>
            </w:r>
          </w:p>
          <w:p w:rsidR="00FC5D4C" w:rsidRPr="00DC7758" w:rsidRDefault="00FC5D4C" w:rsidP="001C7F88">
            <w:pPr>
              <w:jc w:val="center"/>
            </w:pPr>
            <w:r w:rsidRPr="00DC7758">
              <w:t>CLEP - NO</w:t>
            </w:r>
          </w:p>
        </w:tc>
      </w:tr>
      <w:tr w:rsidR="00C96A58" w:rsidRPr="00DC7758" w:rsidTr="001C7F88">
        <w:tc>
          <w:tcPr>
            <w:tcW w:w="0" w:type="auto"/>
          </w:tcPr>
          <w:p w:rsidR="00FC5D4C" w:rsidRPr="00DC7758" w:rsidRDefault="00FC5D4C" w:rsidP="001C7F88">
            <w:r>
              <w:t>University of Colorado College of Nursing</w:t>
            </w:r>
          </w:p>
        </w:tc>
        <w:tc>
          <w:tcPr>
            <w:tcW w:w="0" w:type="auto"/>
            <w:vAlign w:val="center"/>
          </w:tcPr>
          <w:p w:rsidR="00FC5D4C" w:rsidRPr="00DC7758" w:rsidRDefault="00FC5D4C" w:rsidP="001C7F88">
            <w:pPr>
              <w:jc w:val="center"/>
            </w:pPr>
            <w:r>
              <w:t>YES</w:t>
            </w:r>
          </w:p>
        </w:tc>
        <w:tc>
          <w:tcPr>
            <w:tcW w:w="0" w:type="auto"/>
            <w:vAlign w:val="center"/>
          </w:tcPr>
          <w:p w:rsidR="00FC5D4C" w:rsidRDefault="00FC5D4C" w:rsidP="001C7F88">
            <w:pPr>
              <w:jc w:val="center"/>
            </w:pPr>
            <w:r>
              <w:t>AP – YES (some courses)</w:t>
            </w:r>
          </w:p>
          <w:p w:rsidR="00FC5D4C" w:rsidRDefault="00FC5D4C" w:rsidP="001C7F88">
            <w:pPr>
              <w:jc w:val="center"/>
            </w:pPr>
            <w:r>
              <w:t>CLEP – YES (some courses)</w:t>
            </w:r>
          </w:p>
          <w:p w:rsidR="00FC5D4C" w:rsidRPr="00DC7758" w:rsidRDefault="00FC5D4C" w:rsidP="001C7F88">
            <w:pPr>
              <w:jc w:val="center"/>
            </w:pPr>
            <w:r>
              <w:t>IB – adopting guidelines currently</w:t>
            </w:r>
          </w:p>
        </w:tc>
      </w:tr>
    </w:tbl>
    <w:p w:rsidR="00FC5D4C" w:rsidRPr="00DC7758" w:rsidRDefault="00FC5D4C" w:rsidP="00FC5D4C"/>
    <w:p w:rsidR="006627D2" w:rsidRDefault="006627D2" w:rsidP="006627D2">
      <w:pPr>
        <w:pStyle w:val="NoSpacing"/>
        <w:rPr>
          <w:sz w:val="24"/>
        </w:rPr>
      </w:pPr>
    </w:p>
    <w:p w:rsidR="00E149CE" w:rsidRDefault="00E149CE">
      <w:pPr>
        <w:rPr>
          <w:sz w:val="24"/>
        </w:rPr>
        <w:sectPr w:rsidR="00E149CE" w:rsidSect="00D15902">
          <w:pgSz w:w="12240" w:h="15840"/>
          <w:pgMar w:top="720" w:right="1440" w:bottom="1440" w:left="1440" w:header="720" w:footer="720" w:gutter="0"/>
          <w:cols w:space="720"/>
          <w:docGrid w:linePitch="360"/>
        </w:sectPr>
      </w:pPr>
    </w:p>
    <w:p w:rsidR="0013665A" w:rsidRPr="00CB198A" w:rsidRDefault="00E149CE" w:rsidP="00CB198A">
      <w:pPr>
        <w:pStyle w:val="Default"/>
        <w:jc w:val="center"/>
        <w:rPr>
          <w:b/>
          <w:sz w:val="23"/>
          <w:szCs w:val="23"/>
        </w:rPr>
      </w:pPr>
      <w:r w:rsidRPr="00CB198A">
        <w:rPr>
          <w:b/>
          <w:color w:val="auto"/>
        </w:rPr>
        <w:lastRenderedPageBreak/>
        <w:t xml:space="preserve">Appendix </w:t>
      </w:r>
      <w:r w:rsidR="008F69C4" w:rsidRPr="00CB198A">
        <w:rPr>
          <w:b/>
          <w:color w:val="auto"/>
        </w:rPr>
        <w:t>D</w:t>
      </w:r>
      <w:r w:rsidRPr="00CB198A">
        <w:rPr>
          <w:b/>
          <w:color w:val="auto"/>
        </w:rPr>
        <w:t xml:space="preserve">: </w:t>
      </w:r>
      <w:r w:rsidR="00085E6B" w:rsidRPr="00CB198A">
        <w:rPr>
          <w:b/>
          <w:bCs/>
          <w:color w:val="auto"/>
        </w:rPr>
        <w:t>Florida</w:t>
      </w:r>
      <w:r w:rsidR="00CB198A" w:rsidRPr="00CB198A">
        <w:rPr>
          <w:b/>
          <w:bCs/>
          <w:color w:val="auto"/>
        </w:rPr>
        <w:t xml:space="preserve"> Articulation Coordinating Committee Credit-by-Exam Equivalencies</w:t>
      </w:r>
    </w:p>
    <w:p w:rsidR="00085E6B" w:rsidRDefault="00085E6B" w:rsidP="009E5785">
      <w:pPr>
        <w:pStyle w:val="NoSpacing"/>
        <w:rPr>
          <w:rFonts w:ascii="Arial" w:hAnsi="Arial" w:cs="Arial"/>
          <w:color w:val="000000"/>
          <w:sz w:val="20"/>
          <w:szCs w:val="20"/>
        </w:rPr>
      </w:pPr>
    </w:p>
    <w:p w:rsidR="009E5785" w:rsidRDefault="009E5785" w:rsidP="009E5785">
      <w:pPr>
        <w:pStyle w:val="NoSpacing"/>
        <w:rPr>
          <w:rFonts w:ascii="Arial" w:hAnsi="Arial" w:cs="Arial"/>
          <w:color w:val="000000"/>
          <w:sz w:val="20"/>
          <w:szCs w:val="20"/>
        </w:rPr>
      </w:pPr>
      <w:r>
        <w:rPr>
          <w:rFonts w:ascii="Arial" w:hAnsi="Arial" w:cs="Arial"/>
          <w:noProof/>
          <w:color w:val="000000"/>
          <w:sz w:val="20"/>
          <w:szCs w:val="20"/>
        </w:rPr>
        <w:drawing>
          <wp:inline distT="0" distB="0" distL="0" distR="0" wp14:anchorId="61032B81" wp14:editId="51A8D173">
            <wp:extent cx="8229600" cy="3767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da.jpg"/>
                    <pic:cNvPicPr/>
                  </pic:nvPicPr>
                  <pic:blipFill>
                    <a:blip r:embed="rId98" cstate="print">
                      <a:extLst>
                        <a:ext uri="{28A0092B-C50C-407E-A947-70E740481C1C}">
                          <a14:useLocalDpi xmlns:a14="http://schemas.microsoft.com/office/drawing/2010/main" val="0"/>
                        </a:ext>
                      </a:extLst>
                    </a:blip>
                    <a:stretch>
                      <a:fillRect/>
                    </a:stretch>
                  </pic:blipFill>
                  <pic:spPr>
                    <a:xfrm>
                      <a:off x="0" y="0"/>
                      <a:ext cx="8229600" cy="3767455"/>
                    </a:xfrm>
                    <a:prstGeom prst="rect">
                      <a:avLst/>
                    </a:prstGeom>
                  </pic:spPr>
                </pic:pic>
              </a:graphicData>
            </a:graphic>
          </wp:inline>
        </w:drawing>
      </w:r>
    </w:p>
    <w:p w:rsidR="00CB198A" w:rsidRDefault="00CB198A" w:rsidP="009E5785">
      <w:pPr>
        <w:pStyle w:val="NoSpacing"/>
        <w:rPr>
          <w:rFonts w:ascii="Arial" w:hAnsi="Arial" w:cs="Arial"/>
          <w:color w:val="000000"/>
          <w:sz w:val="20"/>
          <w:szCs w:val="20"/>
        </w:rPr>
      </w:pPr>
    </w:p>
    <w:p w:rsidR="00CB198A" w:rsidRDefault="00CB198A" w:rsidP="009E5785">
      <w:pPr>
        <w:pStyle w:val="NoSpacing"/>
        <w:rPr>
          <w:color w:val="000000"/>
          <w:sz w:val="24"/>
        </w:rPr>
      </w:pPr>
      <w:r w:rsidRPr="00CB198A">
        <w:rPr>
          <w:color w:val="000000"/>
          <w:sz w:val="24"/>
        </w:rPr>
        <w:t xml:space="preserve">Source: </w:t>
      </w:r>
      <w:hyperlink r:id="rId99" w:history="1">
        <w:r w:rsidRPr="00CB198A">
          <w:rPr>
            <w:rStyle w:val="Hyperlink"/>
            <w:sz w:val="24"/>
          </w:rPr>
          <w:t>http://www.fldoe.org/core/fileparse.php/5421/urlt/0078391-acc-cbe.pdf</w:t>
        </w:r>
      </w:hyperlink>
      <w:r w:rsidRPr="00CB198A">
        <w:rPr>
          <w:color w:val="000000"/>
          <w:sz w:val="24"/>
        </w:rPr>
        <w:t xml:space="preserve"> </w:t>
      </w:r>
    </w:p>
    <w:p w:rsidR="00AD4681" w:rsidRDefault="00AD4681" w:rsidP="009E5785">
      <w:pPr>
        <w:pStyle w:val="NoSpacing"/>
        <w:rPr>
          <w:color w:val="000000"/>
          <w:sz w:val="24"/>
        </w:rPr>
        <w:sectPr w:rsidR="00AD4681" w:rsidSect="00D234B6">
          <w:pgSz w:w="15840" w:h="12240" w:orient="landscape"/>
          <w:pgMar w:top="1440" w:right="1440" w:bottom="1440" w:left="1440" w:header="720" w:footer="720" w:gutter="0"/>
          <w:cols w:space="720"/>
          <w:docGrid w:linePitch="360"/>
        </w:sectPr>
      </w:pPr>
    </w:p>
    <w:p w:rsidR="00A06880" w:rsidRDefault="00A06880" w:rsidP="00A06880">
      <w:pPr>
        <w:jc w:val="center"/>
        <w:rPr>
          <w:b/>
        </w:rPr>
      </w:pPr>
    </w:p>
    <w:p w:rsidR="00A06880" w:rsidRDefault="00A06880" w:rsidP="00A06880">
      <w:pPr>
        <w:jc w:val="center"/>
        <w:rPr>
          <w:b/>
        </w:rPr>
      </w:pPr>
    </w:p>
    <w:p w:rsidR="00A06880" w:rsidRDefault="00A06880" w:rsidP="00A06880">
      <w:pPr>
        <w:jc w:val="center"/>
        <w:rPr>
          <w:b/>
        </w:rPr>
      </w:pPr>
      <w:r>
        <w:rPr>
          <w:b/>
        </w:rPr>
        <w:t xml:space="preserve">APPENDIX </w:t>
      </w:r>
      <w:r w:rsidR="00977151">
        <w:rPr>
          <w:b/>
        </w:rPr>
        <w:t>E</w:t>
      </w:r>
      <w:r>
        <w:rPr>
          <w:b/>
        </w:rPr>
        <w:t>: SAMPLE FORMAT FOR STANDARDIZED EXAM CUT SCORES</w:t>
      </w:r>
    </w:p>
    <w:p w:rsidR="00D317D0" w:rsidRPr="00A72C26" w:rsidRDefault="00D317D0" w:rsidP="00A06880">
      <w:pPr>
        <w:jc w:val="center"/>
        <w:rPr>
          <w:b/>
          <w:i/>
          <w:color w:val="FF0000"/>
        </w:rPr>
      </w:pPr>
      <w:r w:rsidRPr="00A72C26">
        <w:rPr>
          <w:b/>
          <w:i/>
          <w:color w:val="FF0000"/>
        </w:rPr>
        <w:t>(This is intended to be an EXAMPLE of how such a table might look in the event that all IHEs accept</w:t>
      </w:r>
      <w:r w:rsidR="00A72C26" w:rsidRPr="00A72C26">
        <w:rPr>
          <w:b/>
          <w:i/>
          <w:color w:val="FF0000"/>
        </w:rPr>
        <w:t>ed</w:t>
      </w:r>
      <w:r w:rsidRPr="00A72C26">
        <w:rPr>
          <w:b/>
          <w:i/>
          <w:color w:val="FF0000"/>
        </w:rPr>
        <w:t xml:space="preserve"> a 3 for a given AP exam for purposes of gtPathways credit only.  It does NOT </w:t>
      </w:r>
      <w:r w:rsidR="00A72C26" w:rsidRPr="00A72C26">
        <w:rPr>
          <w:b/>
          <w:i/>
          <w:color w:val="FF0000"/>
        </w:rPr>
        <w:t>assume</w:t>
      </w:r>
      <w:r w:rsidRPr="00A72C26">
        <w:rPr>
          <w:b/>
          <w:i/>
          <w:color w:val="FF0000"/>
        </w:rPr>
        <w:t xml:space="preserve"> that IHE</w:t>
      </w:r>
      <w:r w:rsidR="00A72C26" w:rsidRPr="00A72C26">
        <w:rPr>
          <w:b/>
          <w:i/>
          <w:color w:val="FF0000"/>
        </w:rPr>
        <w:t>s</w:t>
      </w:r>
      <w:r w:rsidRPr="00A72C26">
        <w:rPr>
          <w:b/>
          <w:i/>
          <w:color w:val="FF0000"/>
        </w:rPr>
        <w:t xml:space="preserve"> currently accept </w:t>
      </w:r>
      <w:r w:rsidR="00A72C26" w:rsidRPr="00A72C26">
        <w:rPr>
          <w:b/>
          <w:i/>
          <w:color w:val="FF0000"/>
        </w:rPr>
        <w:t xml:space="preserve">a 3 for gtPathways credit.) </w:t>
      </w:r>
      <w:r w:rsidRPr="00A72C26">
        <w:rPr>
          <w:b/>
          <w:i/>
          <w:color w:val="FF0000"/>
        </w:rPr>
        <w:t xml:space="preserve"> </w:t>
      </w:r>
    </w:p>
    <w:p w:rsidR="00A06880" w:rsidRDefault="00A06880" w:rsidP="00A06880">
      <w:pPr>
        <w:jc w:val="center"/>
        <w:rPr>
          <w:b/>
        </w:rPr>
      </w:pPr>
    </w:p>
    <w:p w:rsidR="00A06880" w:rsidRDefault="00A06880" w:rsidP="00A06880">
      <w:pPr>
        <w:rPr>
          <w:b/>
        </w:rPr>
      </w:pPr>
    </w:p>
    <w:p w:rsidR="00A06880" w:rsidRDefault="00A06880" w:rsidP="00A06880">
      <w:pPr>
        <w:rPr>
          <w:b/>
        </w:rPr>
      </w:pPr>
    </w:p>
    <w:p w:rsidR="00A06880" w:rsidRDefault="00A06880" w:rsidP="00A06880">
      <w:pPr>
        <w:rPr>
          <w:b/>
        </w:rPr>
      </w:pPr>
      <w:r>
        <w:rPr>
          <w:b/>
        </w:rPr>
        <w:t>*This form would “live” on CDHE’s website, could be updated easily and frequently by CDHE staff, and all institutions would link to it. There may also be a way to indicate on this form which course, and under what circumstance, the credit would apply to a major. For instance, if a student gets a score of 5 on the AP exam for English Language &amp; Composition, at Fort Lewis College (FLC) an asterisk could indicate the course will apply to the major as well (see example below).</w:t>
      </w:r>
    </w:p>
    <w:p w:rsidR="00A06880" w:rsidRDefault="00A06880" w:rsidP="00A06880">
      <w:pPr>
        <w:jc w:val="center"/>
        <w:rPr>
          <w:b/>
        </w:rPr>
      </w:pPr>
    </w:p>
    <w:p w:rsidR="00A06880" w:rsidRDefault="00A06880" w:rsidP="00A06880">
      <w:pPr>
        <w:jc w:val="center"/>
        <w:rPr>
          <w:b/>
        </w:rPr>
      </w:pPr>
      <w:r w:rsidRPr="008667DC">
        <w:rPr>
          <w:b/>
        </w:rPr>
        <w:t>AP Exam Credit and Cut Score</w:t>
      </w:r>
      <w:r>
        <w:rPr>
          <w:b/>
        </w:rPr>
        <w:t>s for Colorado Public Colleges &amp; Universities</w:t>
      </w:r>
    </w:p>
    <w:p w:rsidR="00A06880" w:rsidRDefault="00A06880" w:rsidP="00A06880">
      <w:pPr>
        <w:jc w:val="center"/>
        <w:rPr>
          <w:b/>
        </w:rPr>
      </w:pPr>
    </w:p>
    <w:p w:rsidR="00A06880" w:rsidRDefault="00A06880" w:rsidP="00A06880">
      <w:r w:rsidRPr="00866B78">
        <w:t xml:space="preserve">Any course with a Guaranteed Pathways (GT) notation is guaranteed to transfer and apply to </w:t>
      </w:r>
      <w:hyperlink r:id="rId100" w:history="1">
        <w:r w:rsidRPr="00866B78">
          <w:rPr>
            <w:rStyle w:val="Hyperlink"/>
          </w:rPr>
          <w:t>gtPathways general education requirements</w:t>
        </w:r>
      </w:hyperlink>
      <w:r w:rsidRPr="00866B78">
        <w:t xml:space="preserve"> in any Liberal Arts &amp; Sciences associate or bachelor degree at any Colorado public college or university.</w:t>
      </w:r>
      <w:r>
        <w:t xml:space="preserve"> A list of degrees that do not contain the gtPathways curriculum and to which these courses may not apply is listed </w:t>
      </w:r>
      <w:hyperlink r:id="rId101" w:history="1">
        <w:r w:rsidRPr="00866B78">
          <w:rPr>
            <w:rStyle w:val="Hyperlink"/>
          </w:rPr>
          <w:t>here</w:t>
        </w:r>
      </w:hyperlink>
      <w:r>
        <w:t>. These courses may also apply to major and elective credit, at the institution’s discretion. Students are strongly encouraged to seek advising from the institution at which they are currently enrolled and to which they plan to transfer.</w:t>
      </w:r>
    </w:p>
    <w:p w:rsidR="00A06880" w:rsidRDefault="00A06880" w:rsidP="00A06880"/>
    <w:tbl>
      <w:tblPr>
        <w:tblStyle w:val="TableGrid"/>
        <w:tblW w:w="5000" w:type="pct"/>
        <w:tblLook w:val="04A0" w:firstRow="1" w:lastRow="0" w:firstColumn="1" w:lastColumn="0" w:noHBand="0" w:noVBand="1"/>
      </w:tblPr>
      <w:tblGrid>
        <w:gridCol w:w="1488"/>
        <w:gridCol w:w="772"/>
        <w:gridCol w:w="848"/>
        <w:gridCol w:w="833"/>
        <w:gridCol w:w="833"/>
        <w:gridCol w:w="734"/>
        <w:gridCol w:w="833"/>
        <w:gridCol w:w="883"/>
        <w:gridCol w:w="894"/>
        <w:gridCol w:w="982"/>
        <w:gridCol w:w="933"/>
        <w:gridCol w:w="944"/>
        <w:gridCol w:w="944"/>
        <w:gridCol w:w="944"/>
        <w:gridCol w:w="833"/>
        <w:gridCol w:w="918"/>
      </w:tblGrid>
      <w:tr w:rsidR="00A06880" w:rsidTr="00A06880">
        <w:tc>
          <w:tcPr>
            <w:tcW w:w="5000" w:type="pct"/>
            <w:gridSpan w:val="16"/>
            <w:shd w:val="pct5" w:color="auto" w:fill="auto"/>
            <w:vAlign w:val="center"/>
          </w:tcPr>
          <w:p w:rsidR="00A06880" w:rsidRDefault="00A06880" w:rsidP="00027D0B">
            <w:pPr>
              <w:jc w:val="center"/>
            </w:pPr>
            <w:r>
              <w:rPr>
                <w:b/>
              </w:rPr>
              <w:t xml:space="preserve">English - </w:t>
            </w:r>
            <w:r w:rsidRPr="00083995">
              <w:rPr>
                <w:b/>
              </w:rPr>
              <w:t>Advanced Placement (AP) Exams  [Course Prefix(</w:t>
            </w:r>
            <w:proofErr w:type="spellStart"/>
            <w:r w:rsidRPr="00083995">
              <w:rPr>
                <w:b/>
              </w:rPr>
              <w:t>es</w:t>
            </w:r>
            <w:proofErr w:type="spellEnd"/>
            <w:r w:rsidRPr="00083995">
              <w:rPr>
                <w:b/>
              </w:rPr>
              <w:t>), Number(s), and Credit Hours Awarded]</w:t>
            </w:r>
          </w:p>
        </w:tc>
      </w:tr>
      <w:tr w:rsidR="00A06880" w:rsidTr="00A06880">
        <w:tc>
          <w:tcPr>
            <w:tcW w:w="509" w:type="pct"/>
            <w:vAlign w:val="bottom"/>
          </w:tcPr>
          <w:p w:rsidR="00A06880" w:rsidRPr="00023A1D" w:rsidRDefault="00A06880" w:rsidP="00027D0B">
            <w:pPr>
              <w:jc w:val="center"/>
              <w:rPr>
                <w:b/>
              </w:rPr>
            </w:pPr>
            <w:r w:rsidRPr="00023A1D">
              <w:rPr>
                <w:b/>
              </w:rPr>
              <w:t>AP Exam</w:t>
            </w:r>
          </w:p>
        </w:tc>
        <w:tc>
          <w:tcPr>
            <w:tcW w:w="264" w:type="pct"/>
            <w:vAlign w:val="bottom"/>
          </w:tcPr>
          <w:p w:rsidR="00A06880" w:rsidRPr="00023A1D" w:rsidRDefault="00A06880" w:rsidP="00027D0B">
            <w:pPr>
              <w:jc w:val="center"/>
              <w:rPr>
                <w:b/>
              </w:rPr>
            </w:pPr>
            <w:r w:rsidRPr="00023A1D">
              <w:rPr>
                <w:b/>
              </w:rPr>
              <w:t>Score</w:t>
            </w:r>
          </w:p>
        </w:tc>
        <w:tc>
          <w:tcPr>
            <w:tcW w:w="290" w:type="pct"/>
            <w:vAlign w:val="bottom"/>
          </w:tcPr>
          <w:p w:rsidR="00A06880" w:rsidRPr="00023A1D" w:rsidRDefault="00A06880" w:rsidP="00027D0B">
            <w:pPr>
              <w:jc w:val="center"/>
              <w:rPr>
                <w:b/>
              </w:rPr>
            </w:pPr>
            <w:r w:rsidRPr="00023A1D">
              <w:rPr>
                <w:b/>
              </w:rPr>
              <w:t>Aims, CCCS &amp; CMC</w:t>
            </w:r>
          </w:p>
        </w:tc>
        <w:tc>
          <w:tcPr>
            <w:tcW w:w="285" w:type="pct"/>
            <w:vAlign w:val="bottom"/>
          </w:tcPr>
          <w:p w:rsidR="00A06880" w:rsidRPr="00023A1D" w:rsidRDefault="00A06880" w:rsidP="00027D0B">
            <w:pPr>
              <w:jc w:val="center"/>
              <w:rPr>
                <w:b/>
              </w:rPr>
            </w:pPr>
            <w:r w:rsidRPr="00023A1D">
              <w:rPr>
                <w:b/>
              </w:rPr>
              <w:t>ASU</w:t>
            </w:r>
          </w:p>
        </w:tc>
        <w:tc>
          <w:tcPr>
            <w:tcW w:w="285" w:type="pct"/>
            <w:vAlign w:val="bottom"/>
          </w:tcPr>
          <w:p w:rsidR="00A06880" w:rsidRPr="00023A1D" w:rsidRDefault="00A06880" w:rsidP="00027D0B">
            <w:pPr>
              <w:jc w:val="center"/>
              <w:rPr>
                <w:b/>
              </w:rPr>
            </w:pPr>
            <w:r w:rsidRPr="00023A1D">
              <w:rPr>
                <w:b/>
              </w:rPr>
              <w:t>CMU</w:t>
            </w:r>
          </w:p>
        </w:tc>
        <w:tc>
          <w:tcPr>
            <w:tcW w:w="251" w:type="pct"/>
            <w:vAlign w:val="bottom"/>
          </w:tcPr>
          <w:p w:rsidR="00A06880" w:rsidRPr="00023A1D" w:rsidRDefault="00A06880" w:rsidP="00027D0B">
            <w:pPr>
              <w:jc w:val="center"/>
              <w:rPr>
                <w:b/>
              </w:rPr>
            </w:pPr>
            <w:r w:rsidRPr="00023A1D">
              <w:rPr>
                <w:b/>
              </w:rPr>
              <w:t>CSM</w:t>
            </w:r>
          </w:p>
        </w:tc>
        <w:tc>
          <w:tcPr>
            <w:tcW w:w="285" w:type="pct"/>
            <w:vAlign w:val="bottom"/>
          </w:tcPr>
          <w:p w:rsidR="00A06880" w:rsidRPr="00023A1D" w:rsidRDefault="00A06880" w:rsidP="00027D0B">
            <w:pPr>
              <w:jc w:val="center"/>
              <w:rPr>
                <w:b/>
              </w:rPr>
            </w:pPr>
            <w:r w:rsidRPr="00023A1D">
              <w:rPr>
                <w:b/>
              </w:rPr>
              <w:t>CSU</w:t>
            </w:r>
          </w:p>
        </w:tc>
        <w:tc>
          <w:tcPr>
            <w:tcW w:w="302" w:type="pct"/>
            <w:vAlign w:val="bottom"/>
          </w:tcPr>
          <w:p w:rsidR="00A06880" w:rsidRPr="00023A1D" w:rsidRDefault="00A06880" w:rsidP="00027D0B">
            <w:pPr>
              <w:jc w:val="center"/>
              <w:rPr>
                <w:b/>
              </w:rPr>
            </w:pPr>
            <w:r w:rsidRPr="00023A1D">
              <w:rPr>
                <w:b/>
              </w:rPr>
              <w:t>CSU – Global</w:t>
            </w:r>
          </w:p>
        </w:tc>
        <w:tc>
          <w:tcPr>
            <w:tcW w:w="306" w:type="pct"/>
            <w:vAlign w:val="bottom"/>
          </w:tcPr>
          <w:p w:rsidR="00A06880" w:rsidRPr="00023A1D" w:rsidRDefault="00A06880" w:rsidP="00027D0B">
            <w:pPr>
              <w:jc w:val="center"/>
              <w:rPr>
                <w:b/>
              </w:rPr>
            </w:pPr>
            <w:r w:rsidRPr="00023A1D">
              <w:rPr>
                <w:b/>
              </w:rPr>
              <w:t>CSU – Pueblo</w:t>
            </w:r>
          </w:p>
        </w:tc>
        <w:tc>
          <w:tcPr>
            <w:tcW w:w="336" w:type="pct"/>
            <w:vAlign w:val="bottom"/>
          </w:tcPr>
          <w:p w:rsidR="00A06880" w:rsidRPr="00023A1D" w:rsidRDefault="00A06880" w:rsidP="00027D0B">
            <w:pPr>
              <w:jc w:val="center"/>
              <w:rPr>
                <w:b/>
              </w:rPr>
            </w:pPr>
            <w:r w:rsidRPr="00023A1D">
              <w:rPr>
                <w:b/>
              </w:rPr>
              <w:t>FLC</w:t>
            </w:r>
          </w:p>
        </w:tc>
        <w:tc>
          <w:tcPr>
            <w:tcW w:w="319" w:type="pct"/>
            <w:vAlign w:val="bottom"/>
          </w:tcPr>
          <w:p w:rsidR="00A06880" w:rsidRPr="00023A1D" w:rsidRDefault="00A06880" w:rsidP="00027D0B">
            <w:pPr>
              <w:jc w:val="center"/>
              <w:rPr>
                <w:b/>
              </w:rPr>
            </w:pPr>
            <w:r w:rsidRPr="00023A1D">
              <w:rPr>
                <w:b/>
              </w:rPr>
              <w:t>MSU Denver</w:t>
            </w:r>
          </w:p>
        </w:tc>
        <w:tc>
          <w:tcPr>
            <w:tcW w:w="323" w:type="pct"/>
            <w:vAlign w:val="bottom"/>
          </w:tcPr>
          <w:p w:rsidR="00A06880" w:rsidRPr="00023A1D" w:rsidRDefault="00A06880" w:rsidP="00027D0B">
            <w:pPr>
              <w:jc w:val="center"/>
              <w:rPr>
                <w:b/>
              </w:rPr>
            </w:pPr>
            <w:r w:rsidRPr="00023A1D">
              <w:rPr>
                <w:b/>
              </w:rPr>
              <w:t>UCB</w:t>
            </w:r>
          </w:p>
        </w:tc>
        <w:tc>
          <w:tcPr>
            <w:tcW w:w="323" w:type="pct"/>
            <w:vAlign w:val="bottom"/>
          </w:tcPr>
          <w:p w:rsidR="00A06880" w:rsidRPr="00023A1D" w:rsidRDefault="00A06880" w:rsidP="00027D0B">
            <w:pPr>
              <w:jc w:val="center"/>
              <w:rPr>
                <w:b/>
              </w:rPr>
            </w:pPr>
            <w:r w:rsidRPr="00023A1D">
              <w:rPr>
                <w:b/>
              </w:rPr>
              <w:t>UCCS</w:t>
            </w:r>
          </w:p>
        </w:tc>
        <w:tc>
          <w:tcPr>
            <w:tcW w:w="323" w:type="pct"/>
            <w:vAlign w:val="bottom"/>
          </w:tcPr>
          <w:p w:rsidR="00A06880" w:rsidRPr="00023A1D" w:rsidRDefault="00A06880" w:rsidP="00027D0B">
            <w:pPr>
              <w:jc w:val="center"/>
              <w:rPr>
                <w:b/>
              </w:rPr>
            </w:pPr>
            <w:r w:rsidRPr="00023A1D">
              <w:rPr>
                <w:b/>
              </w:rPr>
              <w:t>UCD</w:t>
            </w:r>
          </w:p>
        </w:tc>
        <w:tc>
          <w:tcPr>
            <w:tcW w:w="285" w:type="pct"/>
            <w:vAlign w:val="bottom"/>
          </w:tcPr>
          <w:p w:rsidR="00A06880" w:rsidRPr="00023A1D" w:rsidRDefault="00A06880" w:rsidP="00027D0B">
            <w:pPr>
              <w:jc w:val="center"/>
              <w:rPr>
                <w:b/>
              </w:rPr>
            </w:pPr>
            <w:r w:rsidRPr="00023A1D">
              <w:rPr>
                <w:b/>
              </w:rPr>
              <w:t>UNC</w:t>
            </w:r>
          </w:p>
        </w:tc>
        <w:tc>
          <w:tcPr>
            <w:tcW w:w="311" w:type="pct"/>
            <w:vAlign w:val="bottom"/>
          </w:tcPr>
          <w:p w:rsidR="00A06880" w:rsidRPr="00023A1D" w:rsidRDefault="00A06880" w:rsidP="00027D0B">
            <w:pPr>
              <w:jc w:val="center"/>
              <w:rPr>
                <w:b/>
              </w:rPr>
            </w:pPr>
            <w:r w:rsidRPr="00023A1D">
              <w:rPr>
                <w:b/>
              </w:rPr>
              <w:t>WSCU</w:t>
            </w:r>
          </w:p>
        </w:tc>
      </w:tr>
      <w:tr w:rsidR="00A06880" w:rsidTr="00A06880">
        <w:tc>
          <w:tcPr>
            <w:tcW w:w="509" w:type="pct"/>
            <w:vAlign w:val="center"/>
          </w:tcPr>
          <w:p w:rsidR="00A06880" w:rsidRDefault="00A06880" w:rsidP="00027D0B">
            <w:pPr>
              <w:jc w:val="center"/>
              <w:rPr>
                <w:b/>
              </w:rPr>
            </w:pPr>
            <w:r>
              <w:rPr>
                <w:b/>
              </w:rPr>
              <w:t>English Language &amp; Composition</w:t>
            </w:r>
          </w:p>
        </w:tc>
        <w:tc>
          <w:tcPr>
            <w:tcW w:w="264" w:type="pct"/>
            <w:vAlign w:val="center"/>
          </w:tcPr>
          <w:p w:rsidR="00A06880" w:rsidRPr="00B01BFD" w:rsidRDefault="00A06880" w:rsidP="00027D0B">
            <w:pPr>
              <w:jc w:val="center"/>
              <w:rPr>
                <w:b/>
              </w:rPr>
            </w:pPr>
            <w:r>
              <w:rPr>
                <w:b/>
              </w:rPr>
              <w:t>3</w:t>
            </w:r>
          </w:p>
        </w:tc>
        <w:tc>
          <w:tcPr>
            <w:tcW w:w="290" w:type="pct"/>
            <w:vAlign w:val="center"/>
          </w:tcPr>
          <w:p w:rsidR="00A06880" w:rsidRDefault="00A06880" w:rsidP="00027D0B">
            <w:pPr>
              <w:jc w:val="center"/>
            </w:pPr>
            <w:r>
              <w:t>ENG 121(3)</w:t>
            </w:r>
          </w:p>
          <w:p w:rsidR="00A06880" w:rsidRDefault="00244DB6" w:rsidP="00027D0B">
            <w:pPr>
              <w:jc w:val="center"/>
            </w:pPr>
            <w:hyperlink r:id="rId102" w:history="1">
              <w:r w:rsidR="00A06880" w:rsidRPr="000B2ECB">
                <w:rPr>
                  <w:rStyle w:val="Hyperlink"/>
                </w:rPr>
                <w:t>GT-CO1</w:t>
              </w:r>
            </w:hyperlink>
          </w:p>
        </w:tc>
        <w:tc>
          <w:tcPr>
            <w:tcW w:w="285" w:type="pct"/>
            <w:vAlign w:val="center"/>
          </w:tcPr>
          <w:p w:rsidR="00A06880" w:rsidRDefault="00A06880" w:rsidP="00027D0B">
            <w:pPr>
              <w:jc w:val="center"/>
            </w:pPr>
            <w:r>
              <w:t>ENG 101(3)</w:t>
            </w:r>
          </w:p>
          <w:p w:rsidR="00A06880" w:rsidRDefault="00244DB6" w:rsidP="00027D0B">
            <w:pPr>
              <w:jc w:val="center"/>
            </w:pPr>
            <w:hyperlink r:id="rId103" w:history="1">
              <w:r w:rsidR="00A06880" w:rsidRPr="000B2ECB">
                <w:rPr>
                  <w:rStyle w:val="Hyperlink"/>
                </w:rPr>
                <w:t>GT-CO1</w:t>
              </w:r>
            </w:hyperlink>
          </w:p>
        </w:tc>
        <w:tc>
          <w:tcPr>
            <w:tcW w:w="285" w:type="pct"/>
            <w:vAlign w:val="center"/>
          </w:tcPr>
          <w:p w:rsidR="00A06880" w:rsidRDefault="00A06880" w:rsidP="00027D0B">
            <w:pPr>
              <w:jc w:val="center"/>
            </w:pPr>
            <w:r>
              <w:t>ENGL 111(3)</w:t>
            </w:r>
          </w:p>
          <w:p w:rsidR="00A06880" w:rsidRDefault="00244DB6" w:rsidP="00027D0B">
            <w:pPr>
              <w:jc w:val="center"/>
            </w:pPr>
            <w:hyperlink r:id="rId104" w:history="1">
              <w:r w:rsidR="00A06880" w:rsidRPr="000B2ECB">
                <w:rPr>
                  <w:rStyle w:val="Hyperlink"/>
                </w:rPr>
                <w:t>GT-CO1</w:t>
              </w:r>
            </w:hyperlink>
          </w:p>
        </w:tc>
        <w:tc>
          <w:tcPr>
            <w:tcW w:w="251" w:type="pct"/>
            <w:vAlign w:val="center"/>
          </w:tcPr>
          <w:p w:rsidR="00A06880" w:rsidRDefault="00A06880" w:rsidP="00027D0B">
            <w:pPr>
              <w:jc w:val="center"/>
            </w:pPr>
            <w:r>
              <w:t>X</w:t>
            </w:r>
          </w:p>
        </w:tc>
        <w:tc>
          <w:tcPr>
            <w:tcW w:w="285" w:type="pct"/>
            <w:vAlign w:val="center"/>
          </w:tcPr>
          <w:p w:rsidR="00A06880" w:rsidRDefault="00A06880" w:rsidP="00027D0B">
            <w:pPr>
              <w:jc w:val="center"/>
            </w:pPr>
            <w:r>
              <w:t>CO 130(3)</w:t>
            </w:r>
          </w:p>
          <w:p w:rsidR="00A06880" w:rsidRDefault="00244DB6" w:rsidP="00027D0B">
            <w:pPr>
              <w:jc w:val="center"/>
            </w:pPr>
            <w:hyperlink r:id="rId105" w:history="1">
              <w:r w:rsidR="00A06880" w:rsidRPr="000B2ECB">
                <w:rPr>
                  <w:rStyle w:val="Hyperlink"/>
                </w:rPr>
                <w:t>GT-CO1</w:t>
              </w:r>
            </w:hyperlink>
          </w:p>
        </w:tc>
        <w:tc>
          <w:tcPr>
            <w:tcW w:w="302" w:type="pct"/>
            <w:vAlign w:val="center"/>
          </w:tcPr>
          <w:p w:rsidR="00A06880" w:rsidRDefault="00244DB6" w:rsidP="00027D0B">
            <w:pPr>
              <w:jc w:val="center"/>
            </w:pPr>
            <w:hyperlink r:id="rId106" w:history="1">
              <w:r w:rsidR="00A06880" w:rsidRPr="000B2ECB">
                <w:rPr>
                  <w:rStyle w:val="Hyperlink"/>
                </w:rPr>
                <w:t>GT-CO1</w:t>
              </w:r>
            </w:hyperlink>
          </w:p>
        </w:tc>
        <w:tc>
          <w:tcPr>
            <w:tcW w:w="306" w:type="pct"/>
            <w:vAlign w:val="center"/>
          </w:tcPr>
          <w:p w:rsidR="00A06880" w:rsidRDefault="00A06880" w:rsidP="00027D0B">
            <w:pPr>
              <w:jc w:val="center"/>
            </w:pPr>
            <w:r>
              <w:t>ENG 101(3)</w:t>
            </w:r>
          </w:p>
          <w:p w:rsidR="00A06880" w:rsidRDefault="00244DB6" w:rsidP="00027D0B">
            <w:pPr>
              <w:jc w:val="center"/>
            </w:pPr>
            <w:hyperlink r:id="rId107" w:history="1">
              <w:r w:rsidR="00A06880" w:rsidRPr="000B2ECB">
                <w:rPr>
                  <w:rStyle w:val="Hyperlink"/>
                </w:rPr>
                <w:t>GT-CO1</w:t>
              </w:r>
            </w:hyperlink>
          </w:p>
        </w:tc>
        <w:tc>
          <w:tcPr>
            <w:tcW w:w="336" w:type="pct"/>
            <w:vAlign w:val="center"/>
          </w:tcPr>
          <w:p w:rsidR="00A06880" w:rsidRDefault="00A06880" w:rsidP="00027D0B">
            <w:pPr>
              <w:jc w:val="center"/>
            </w:pPr>
            <w:r>
              <w:t>COMP 126(3)</w:t>
            </w:r>
          </w:p>
          <w:p w:rsidR="00A06880" w:rsidRDefault="00244DB6" w:rsidP="00027D0B">
            <w:pPr>
              <w:jc w:val="center"/>
            </w:pPr>
            <w:hyperlink r:id="rId108" w:history="1">
              <w:r w:rsidR="00A06880" w:rsidRPr="000B2ECB">
                <w:rPr>
                  <w:rStyle w:val="Hyperlink"/>
                </w:rPr>
                <w:t>GT-CO1</w:t>
              </w:r>
            </w:hyperlink>
          </w:p>
        </w:tc>
        <w:tc>
          <w:tcPr>
            <w:tcW w:w="319" w:type="pct"/>
            <w:vAlign w:val="center"/>
          </w:tcPr>
          <w:p w:rsidR="00A06880" w:rsidRDefault="00A06880" w:rsidP="00027D0B">
            <w:pPr>
              <w:jc w:val="center"/>
            </w:pPr>
            <w:r>
              <w:t>ENG 1010 (3)</w:t>
            </w:r>
          </w:p>
          <w:p w:rsidR="00A06880" w:rsidRDefault="00244DB6" w:rsidP="00027D0B">
            <w:pPr>
              <w:jc w:val="center"/>
            </w:pPr>
            <w:hyperlink r:id="rId109" w:history="1">
              <w:r w:rsidR="00A06880" w:rsidRPr="000B2ECB">
                <w:rPr>
                  <w:rStyle w:val="Hyperlink"/>
                </w:rPr>
                <w:t>GT-CO1</w:t>
              </w:r>
            </w:hyperlink>
          </w:p>
        </w:tc>
        <w:tc>
          <w:tcPr>
            <w:tcW w:w="323" w:type="pct"/>
            <w:vAlign w:val="center"/>
          </w:tcPr>
          <w:p w:rsidR="00A06880" w:rsidRDefault="00A06880" w:rsidP="00027D0B">
            <w:pPr>
              <w:jc w:val="center"/>
            </w:pPr>
            <w:r>
              <w:t>WRTG 1150(3)</w:t>
            </w:r>
          </w:p>
          <w:p w:rsidR="00A06880" w:rsidRDefault="00244DB6" w:rsidP="00027D0B">
            <w:pPr>
              <w:jc w:val="center"/>
            </w:pPr>
            <w:hyperlink r:id="rId110" w:history="1">
              <w:r w:rsidR="00A06880" w:rsidRPr="000B2ECB">
                <w:rPr>
                  <w:rStyle w:val="Hyperlink"/>
                </w:rPr>
                <w:t>GT-CO1</w:t>
              </w:r>
            </w:hyperlink>
          </w:p>
        </w:tc>
        <w:tc>
          <w:tcPr>
            <w:tcW w:w="323" w:type="pct"/>
            <w:vAlign w:val="center"/>
          </w:tcPr>
          <w:p w:rsidR="00A06880" w:rsidRDefault="00A06880" w:rsidP="00027D0B">
            <w:pPr>
              <w:jc w:val="center"/>
            </w:pPr>
            <w:r>
              <w:t>ENGL 1310(3)</w:t>
            </w:r>
          </w:p>
          <w:p w:rsidR="00A06880" w:rsidRDefault="00244DB6" w:rsidP="00027D0B">
            <w:pPr>
              <w:jc w:val="center"/>
            </w:pPr>
            <w:hyperlink r:id="rId111" w:history="1">
              <w:r w:rsidR="00A06880" w:rsidRPr="000B2ECB">
                <w:rPr>
                  <w:rStyle w:val="Hyperlink"/>
                </w:rPr>
                <w:t>GT-CO1</w:t>
              </w:r>
            </w:hyperlink>
          </w:p>
        </w:tc>
        <w:tc>
          <w:tcPr>
            <w:tcW w:w="323" w:type="pct"/>
            <w:vAlign w:val="center"/>
          </w:tcPr>
          <w:p w:rsidR="00A06880" w:rsidRDefault="00A06880" w:rsidP="00027D0B">
            <w:pPr>
              <w:jc w:val="center"/>
            </w:pPr>
            <w:r>
              <w:t>ENGL 1020(3)</w:t>
            </w:r>
          </w:p>
          <w:p w:rsidR="00A06880" w:rsidRDefault="00244DB6" w:rsidP="00027D0B">
            <w:pPr>
              <w:jc w:val="center"/>
            </w:pPr>
            <w:hyperlink r:id="rId112" w:history="1">
              <w:r w:rsidR="00A06880" w:rsidRPr="000B2ECB">
                <w:rPr>
                  <w:rStyle w:val="Hyperlink"/>
                </w:rPr>
                <w:t>GT-CO1</w:t>
              </w:r>
            </w:hyperlink>
          </w:p>
        </w:tc>
        <w:tc>
          <w:tcPr>
            <w:tcW w:w="285" w:type="pct"/>
            <w:vAlign w:val="center"/>
          </w:tcPr>
          <w:p w:rsidR="00A06880" w:rsidRDefault="00A06880" w:rsidP="00027D0B">
            <w:pPr>
              <w:jc w:val="center"/>
            </w:pPr>
            <w:r>
              <w:t>ENG 122(3)</w:t>
            </w:r>
          </w:p>
          <w:p w:rsidR="00A06880" w:rsidRDefault="00244DB6" w:rsidP="00027D0B">
            <w:pPr>
              <w:jc w:val="center"/>
            </w:pPr>
            <w:hyperlink r:id="rId113" w:history="1">
              <w:r w:rsidR="00A06880" w:rsidRPr="000B2ECB">
                <w:rPr>
                  <w:rStyle w:val="Hyperlink"/>
                </w:rPr>
                <w:t>GT-CO1</w:t>
              </w:r>
            </w:hyperlink>
          </w:p>
        </w:tc>
        <w:tc>
          <w:tcPr>
            <w:tcW w:w="311" w:type="pct"/>
            <w:vAlign w:val="center"/>
          </w:tcPr>
          <w:p w:rsidR="00A06880" w:rsidRDefault="00A06880" w:rsidP="00027D0B">
            <w:pPr>
              <w:jc w:val="center"/>
            </w:pPr>
            <w:r>
              <w:t>ENG 102 (3)</w:t>
            </w:r>
          </w:p>
          <w:p w:rsidR="00A06880" w:rsidRDefault="00244DB6" w:rsidP="00027D0B">
            <w:pPr>
              <w:jc w:val="center"/>
            </w:pPr>
            <w:hyperlink r:id="rId114" w:history="1">
              <w:r w:rsidR="00A06880" w:rsidRPr="000B2ECB">
                <w:rPr>
                  <w:rStyle w:val="Hyperlink"/>
                </w:rPr>
                <w:t>GT-CO1</w:t>
              </w:r>
            </w:hyperlink>
          </w:p>
        </w:tc>
      </w:tr>
      <w:tr w:rsidR="00A06880" w:rsidTr="00A06880">
        <w:tc>
          <w:tcPr>
            <w:tcW w:w="509" w:type="pct"/>
            <w:vAlign w:val="center"/>
          </w:tcPr>
          <w:p w:rsidR="00A06880" w:rsidRDefault="00A06880" w:rsidP="00027D0B">
            <w:pPr>
              <w:jc w:val="center"/>
              <w:rPr>
                <w:b/>
              </w:rPr>
            </w:pPr>
          </w:p>
        </w:tc>
        <w:tc>
          <w:tcPr>
            <w:tcW w:w="264" w:type="pct"/>
            <w:vAlign w:val="center"/>
          </w:tcPr>
          <w:p w:rsidR="00A06880" w:rsidRPr="00B01BFD" w:rsidRDefault="00A06880" w:rsidP="00027D0B">
            <w:pPr>
              <w:jc w:val="center"/>
              <w:rPr>
                <w:b/>
              </w:rPr>
            </w:pPr>
            <w:r>
              <w:rPr>
                <w:b/>
              </w:rPr>
              <w:t>4</w:t>
            </w:r>
          </w:p>
        </w:tc>
        <w:tc>
          <w:tcPr>
            <w:tcW w:w="290" w:type="pct"/>
            <w:vAlign w:val="center"/>
          </w:tcPr>
          <w:p w:rsidR="00A06880" w:rsidRDefault="00A06880" w:rsidP="00027D0B">
            <w:pPr>
              <w:jc w:val="center"/>
            </w:pPr>
            <w:r>
              <w:t>ENG 121(3)</w:t>
            </w:r>
          </w:p>
          <w:p w:rsidR="00A06880" w:rsidRDefault="00244DB6" w:rsidP="00027D0B">
            <w:pPr>
              <w:jc w:val="center"/>
            </w:pPr>
            <w:hyperlink r:id="rId115" w:history="1">
              <w:r w:rsidR="00A06880" w:rsidRPr="000B2ECB">
                <w:rPr>
                  <w:rStyle w:val="Hyperlink"/>
                </w:rPr>
                <w:t>GT-CO1</w:t>
              </w:r>
            </w:hyperlink>
          </w:p>
        </w:tc>
        <w:tc>
          <w:tcPr>
            <w:tcW w:w="285"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251"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302" w:type="pct"/>
            <w:vAlign w:val="center"/>
          </w:tcPr>
          <w:p w:rsidR="00A06880" w:rsidRDefault="00A06880" w:rsidP="00027D0B">
            <w:pPr>
              <w:jc w:val="center"/>
            </w:pPr>
          </w:p>
        </w:tc>
        <w:tc>
          <w:tcPr>
            <w:tcW w:w="306" w:type="pct"/>
            <w:vAlign w:val="center"/>
          </w:tcPr>
          <w:p w:rsidR="00A06880" w:rsidRDefault="00A06880" w:rsidP="00027D0B">
            <w:pPr>
              <w:jc w:val="center"/>
            </w:pPr>
          </w:p>
        </w:tc>
        <w:tc>
          <w:tcPr>
            <w:tcW w:w="336" w:type="pct"/>
            <w:vAlign w:val="center"/>
          </w:tcPr>
          <w:p w:rsidR="00A06880" w:rsidRDefault="00A06880" w:rsidP="00027D0B">
            <w:pPr>
              <w:jc w:val="center"/>
            </w:pPr>
            <w:r>
              <w:t>COMP 150(4)</w:t>
            </w:r>
          </w:p>
          <w:p w:rsidR="00A06880" w:rsidRDefault="00244DB6" w:rsidP="00027D0B">
            <w:pPr>
              <w:jc w:val="center"/>
            </w:pPr>
            <w:hyperlink r:id="rId116" w:history="1">
              <w:r w:rsidR="00A06880" w:rsidRPr="000B2ECB">
                <w:rPr>
                  <w:rStyle w:val="Hyperlink"/>
                </w:rPr>
                <w:t>GT-CO1</w:t>
              </w:r>
            </w:hyperlink>
          </w:p>
        </w:tc>
        <w:tc>
          <w:tcPr>
            <w:tcW w:w="319" w:type="pct"/>
            <w:vAlign w:val="center"/>
          </w:tcPr>
          <w:p w:rsidR="00A06880" w:rsidRDefault="00A06880" w:rsidP="00027D0B">
            <w:pPr>
              <w:jc w:val="center"/>
            </w:pPr>
          </w:p>
        </w:tc>
        <w:tc>
          <w:tcPr>
            <w:tcW w:w="323" w:type="pct"/>
            <w:vAlign w:val="center"/>
          </w:tcPr>
          <w:p w:rsidR="00A06880" w:rsidRDefault="00A06880" w:rsidP="00027D0B">
            <w:pPr>
              <w:jc w:val="center"/>
            </w:pPr>
          </w:p>
        </w:tc>
        <w:tc>
          <w:tcPr>
            <w:tcW w:w="323" w:type="pct"/>
            <w:vAlign w:val="center"/>
          </w:tcPr>
          <w:p w:rsidR="00A06880" w:rsidRDefault="00A06880" w:rsidP="00027D0B">
            <w:pPr>
              <w:jc w:val="center"/>
            </w:pPr>
          </w:p>
        </w:tc>
        <w:tc>
          <w:tcPr>
            <w:tcW w:w="323"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311" w:type="pct"/>
            <w:vAlign w:val="center"/>
          </w:tcPr>
          <w:p w:rsidR="00A06880" w:rsidRDefault="00A06880" w:rsidP="00027D0B">
            <w:pPr>
              <w:jc w:val="center"/>
            </w:pPr>
          </w:p>
        </w:tc>
      </w:tr>
      <w:tr w:rsidR="00A06880" w:rsidTr="00A06880">
        <w:tc>
          <w:tcPr>
            <w:tcW w:w="509" w:type="pct"/>
            <w:tcBorders>
              <w:bottom w:val="single" w:sz="4" w:space="0" w:color="auto"/>
            </w:tcBorders>
            <w:vAlign w:val="center"/>
          </w:tcPr>
          <w:p w:rsidR="00A06880" w:rsidRDefault="00A06880" w:rsidP="00027D0B">
            <w:pPr>
              <w:jc w:val="center"/>
              <w:rPr>
                <w:b/>
              </w:rPr>
            </w:pPr>
          </w:p>
        </w:tc>
        <w:tc>
          <w:tcPr>
            <w:tcW w:w="264" w:type="pct"/>
            <w:tcBorders>
              <w:bottom w:val="single" w:sz="4" w:space="0" w:color="auto"/>
            </w:tcBorders>
            <w:vAlign w:val="center"/>
          </w:tcPr>
          <w:p w:rsidR="00A06880" w:rsidRPr="00B01BFD" w:rsidRDefault="00A06880" w:rsidP="00027D0B">
            <w:pPr>
              <w:jc w:val="center"/>
              <w:rPr>
                <w:b/>
              </w:rPr>
            </w:pPr>
            <w:r>
              <w:rPr>
                <w:b/>
              </w:rPr>
              <w:t>5</w:t>
            </w:r>
          </w:p>
        </w:tc>
        <w:tc>
          <w:tcPr>
            <w:tcW w:w="290" w:type="pct"/>
            <w:tcBorders>
              <w:bottom w:val="single" w:sz="4" w:space="0" w:color="auto"/>
            </w:tcBorders>
            <w:vAlign w:val="center"/>
          </w:tcPr>
          <w:p w:rsidR="00A06880" w:rsidRDefault="00A06880" w:rsidP="00027D0B">
            <w:pPr>
              <w:jc w:val="center"/>
            </w:pPr>
            <w:r>
              <w:t>ENG 121(3)</w:t>
            </w:r>
          </w:p>
          <w:p w:rsidR="00A06880" w:rsidRDefault="00244DB6" w:rsidP="00027D0B">
            <w:pPr>
              <w:jc w:val="center"/>
            </w:pPr>
            <w:hyperlink r:id="rId117" w:history="1">
              <w:r w:rsidR="00A06880" w:rsidRPr="000B2ECB">
                <w:rPr>
                  <w:rStyle w:val="Hyperlink"/>
                </w:rPr>
                <w:t>GT-CO1</w:t>
              </w:r>
            </w:hyperlink>
          </w:p>
        </w:tc>
        <w:tc>
          <w:tcPr>
            <w:tcW w:w="285" w:type="pct"/>
            <w:tcBorders>
              <w:bottom w:val="single" w:sz="4" w:space="0" w:color="auto"/>
            </w:tcBorders>
            <w:vAlign w:val="center"/>
          </w:tcPr>
          <w:p w:rsidR="00A06880" w:rsidRDefault="00A06880" w:rsidP="00027D0B">
            <w:pPr>
              <w:jc w:val="center"/>
            </w:pPr>
          </w:p>
        </w:tc>
        <w:tc>
          <w:tcPr>
            <w:tcW w:w="285" w:type="pct"/>
            <w:tcBorders>
              <w:bottom w:val="single" w:sz="4" w:space="0" w:color="auto"/>
            </w:tcBorders>
            <w:vAlign w:val="center"/>
          </w:tcPr>
          <w:p w:rsidR="00A06880" w:rsidRDefault="00A06880" w:rsidP="00027D0B">
            <w:pPr>
              <w:jc w:val="center"/>
            </w:pPr>
          </w:p>
        </w:tc>
        <w:tc>
          <w:tcPr>
            <w:tcW w:w="251" w:type="pct"/>
            <w:tcBorders>
              <w:bottom w:val="single" w:sz="4" w:space="0" w:color="auto"/>
            </w:tcBorders>
            <w:vAlign w:val="center"/>
          </w:tcPr>
          <w:p w:rsidR="00A06880" w:rsidRDefault="00A06880" w:rsidP="00027D0B">
            <w:pPr>
              <w:jc w:val="center"/>
            </w:pPr>
          </w:p>
        </w:tc>
        <w:tc>
          <w:tcPr>
            <w:tcW w:w="285" w:type="pct"/>
            <w:tcBorders>
              <w:bottom w:val="single" w:sz="4" w:space="0" w:color="auto"/>
            </w:tcBorders>
            <w:vAlign w:val="center"/>
          </w:tcPr>
          <w:p w:rsidR="00A06880" w:rsidRDefault="00A06880" w:rsidP="00027D0B">
            <w:pPr>
              <w:jc w:val="center"/>
            </w:pPr>
          </w:p>
        </w:tc>
        <w:tc>
          <w:tcPr>
            <w:tcW w:w="302" w:type="pct"/>
            <w:tcBorders>
              <w:bottom w:val="single" w:sz="4" w:space="0" w:color="auto"/>
            </w:tcBorders>
            <w:vAlign w:val="center"/>
          </w:tcPr>
          <w:p w:rsidR="00A06880" w:rsidRDefault="00A06880" w:rsidP="00027D0B">
            <w:pPr>
              <w:jc w:val="center"/>
            </w:pPr>
          </w:p>
        </w:tc>
        <w:tc>
          <w:tcPr>
            <w:tcW w:w="306" w:type="pct"/>
            <w:tcBorders>
              <w:bottom w:val="single" w:sz="4" w:space="0" w:color="auto"/>
            </w:tcBorders>
            <w:vAlign w:val="center"/>
          </w:tcPr>
          <w:p w:rsidR="00A06880" w:rsidRDefault="00A06880" w:rsidP="00027D0B">
            <w:pPr>
              <w:jc w:val="center"/>
            </w:pPr>
          </w:p>
        </w:tc>
        <w:tc>
          <w:tcPr>
            <w:tcW w:w="336" w:type="pct"/>
            <w:tcBorders>
              <w:bottom w:val="single" w:sz="4" w:space="0" w:color="auto"/>
            </w:tcBorders>
            <w:vAlign w:val="center"/>
          </w:tcPr>
          <w:p w:rsidR="00A06880" w:rsidRDefault="00A06880" w:rsidP="00027D0B">
            <w:pPr>
              <w:jc w:val="center"/>
            </w:pPr>
            <w:r>
              <w:t>*COMP 150(4)</w:t>
            </w:r>
          </w:p>
          <w:p w:rsidR="00A06880" w:rsidRDefault="00244DB6" w:rsidP="00027D0B">
            <w:pPr>
              <w:jc w:val="center"/>
            </w:pPr>
            <w:hyperlink r:id="rId118" w:history="1">
              <w:r w:rsidR="00A06880" w:rsidRPr="000B2ECB">
                <w:rPr>
                  <w:rStyle w:val="Hyperlink"/>
                </w:rPr>
                <w:t>GT-CO1</w:t>
              </w:r>
            </w:hyperlink>
          </w:p>
        </w:tc>
        <w:tc>
          <w:tcPr>
            <w:tcW w:w="319" w:type="pct"/>
            <w:tcBorders>
              <w:bottom w:val="single" w:sz="4" w:space="0" w:color="auto"/>
            </w:tcBorders>
            <w:vAlign w:val="center"/>
          </w:tcPr>
          <w:p w:rsidR="00A06880" w:rsidRDefault="00A06880" w:rsidP="00027D0B">
            <w:pPr>
              <w:jc w:val="center"/>
            </w:pPr>
          </w:p>
        </w:tc>
        <w:tc>
          <w:tcPr>
            <w:tcW w:w="323" w:type="pct"/>
            <w:tcBorders>
              <w:bottom w:val="single" w:sz="4" w:space="0" w:color="auto"/>
            </w:tcBorders>
            <w:vAlign w:val="center"/>
          </w:tcPr>
          <w:p w:rsidR="00A06880" w:rsidRDefault="00A06880" w:rsidP="00027D0B">
            <w:pPr>
              <w:jc w:val="center"/>
            </w:pPr>
          </w:p>
        </w:tc>
        <w:tc>
          <w:tcPr>
            <w:tcW w:w="323" w:type="pct"/>
            <w:tcBorders>
              <w:bottom w:val="single" w:sz="4" w:space="0" w:color="auto"/>
            </w:tcBorders>
            <w:vAlign w:val="center"/>
          </w:tcPr>
          <w:p w:rsidR="00A06880" w:rsidRDefault="00A06880" w:rsidP="00027D0B">
            <w:pPr>
              <w:jc w:val="center"/>
            </w:pPr>
          </w:p>
        </w:tc>
        <w:tc>
          <w:tcPr>
            <w:tcW w:w="323" w:type="pct"/>
            <w:tcBorders>
              <w:bottom w:val="single" w:sz="4" w:space="0" w:color="auto"/>
            </w:tcBorders>
            <w:vAlign w:val="center"/>
          </w:tcPr>
          <w:p w:rsidR="00A06880" w:rsidRDefault="00A06880" w:rsidP="00027D0B">
            <w:pPr>
              <w:jc w:val="center"/>
            </w:pPr>
          </w:p>
        </w:tc>
        <w:tc>
          <w:tcPr>
            <w:tcW w:w="285" w:type="pct"/>
            <w:tcBorders>
              <w:bottom w:val="single" w:sz="4" w:space="0" w:color="auto"/>
            </w:tcBorders>
            <w:vAlign w:val="center"/>
          </w:tcPr>
          <w:p w:rsidR="00A06880" w:rsidRDefault="00A06880" w:rsidP="00027D0B">
            <w:pPr>
              <w:jc w:val="center"/>
            </w:pPr>
          </w:p>
        </w:tc>
        <w:tc>
          <w:tcPr>
            <w:tcW w:w="311" w:type="pct"/>
            <w:tcBorders>
              <w:bottom w:val="single" w:sz="4" w:space="0" w:color="auto"/>
            </w:tcBorders>
            <w:vAlign w:val="center"/>
          </w:tcPr>
          <w:p w:rsidR="00A06880" w:rsidRDefault="00A06880" w:rsidP="00027D0B">
            <w:pPr>
              <w:jc w:val="center"/>
            </w:pPr>
          </w:p>
        </w:tc>
      </w:tr>
      <w:tr w:rsidR="00A06880" w:rsidTr="00A06880">
        <w:tc>
          <w:tcPr>
            <w:tcW w:w="5000" w:type="pct"/>
            <w:gridSpan w:val="16"/>
            <w:shd w:val="pct40" w:color="auto" w:fill="auto"/>
            <w:vAlign w:val="center"/>
          </w:tcPr>
          <w:p w:rsidR="00A06880" w:rsidRDefault="00A06880" w:rsidP="00027D0B">
            <w:pPr>
              <w:jc w:val="center"/>
            </w:pPr>
          </w:p>
        </w:tc>
      </w:tr>
      <w:tr w:rsidR="00A06880" w:rsidTr="00A06880">
        <w:tc>
          <w:tcPr>
            <w:tcW w:w="509" w:type="pct"/>
            <w:vAlign w:val="bottom"/>
          </w:tcPr>
          <w:p w:rsidR="00A06880" w:rsidRPr="00023A1D" w:rsidRDefault="00A06880" w:rsidP="00027D0B">
            <w:pPr>
              <w:jc w:val="center"/>
              <w:rPr>
                <w:b/>
              </w:rPr>
            </w:pPr>
            <w:r w:rsidRPr="00023A1D">
              <w:rPr>
                <w:b/>
              </w:rPr>
              <w:t>AP Exam</w:t>
            </w:r>
          </w:p>
        </w:tc>
        <w:tc>
          <w:tcPr>
            <w:tcW w:w="264" w:type="pct"/>
            <w:vAlign w:val="bottom"/>
          </w:tcPr>
          <w:p w:rsidR="00A06880" w:rsidRPr="00023A1D" w:rsidRDefault="00A06880" w:rsidP="00027D0B">
            <w:pPr>
              <w:jc w:val="center"/>
              <w:rPr>
                <w:b/>
              </w:rPr>
            </w:pPr>
            <w:r w:rsidRPr="00023A1D">
              <w:rPr>
                <w:b/>
              </w:rPr>
              <w:t>Score</w:t>
            </w:r>
          </w:p>
        </w:tc>
        <w:tc>
          <w:tcPr>
            <w:tcW w:w="290" w:type="pct"/>
            <w:vAlign w:val="bottom"/>
          </w:tcPr>
          <w:p w:rsidR="00A06880" w:rsidRPr="00023A1D" w:rsidRDefault="00A06880" w:rsidP="00027D0B">
            <w:pPr>
              <w:jc w:val="center"/>
              <w:rPr>
                <w:b/>
              </w:rPr>
            </w:pPr>
            <w:r w:rsidRPr="00023A1D">
              <w:rPr>
                <w:b/>
              </w:rPr>
              <w:t>Aims, CCCS &amp; CMC</w:t>
            </w:r>
          </w:p>
        </w:tc>
        <w:tc>
          <w:tcPr>
            <w:tcW w:w="285" w:type="pct"/>
            <w:vAlign w:val="bottom"/>
          </w:tcPr>
          <w:p w:rsidR="00A06880" w:rsidRPr="00023A1D" w:rsidRDefault="00A06880" w:rsidP="00027D0B">
            <w:pPr>
              <w:jc w:val="center"/>
              <w:rPr>
                <w:b/>
              </w:rPr>
            </w:pPr>
            <w:r w:rsidRPr="00023A1D">
              <w:rPr>
                <w:b/>
              </w:rPr>
              <w:t>ASU</w:t>
            </w:r>
          </w:p>
        </w:tc>
        <w:tc>
          <w:tcPr>
            <w:tcW w:w="285" w:type="pct"/>
            <w:vAlign w:val="bottom"/>
          </w:tcPr>
          <w:p w:rsidR="00A06880" w:rsidRPr="00023A1D" w:rsidRDefault="00A06880" w:rsidP="00027D0B">
            <w:pPr>
              <w:jc w:val="center"/>
              <w:rPr>
                <w:b/>
              </w:rPr>
            </w:pPr>
            <w:r w:rsidRPr="00023A1D">
              <w:rPr>
                <w:b/>
              </w:rPr>
              <w:t>CMU</w:t>
            </w:r>
          </w:p>
        </w:tc>
        <w:tc>
          <w:tcPr>
            <w:tcW w:w="251" w:type="pct"/>
            <w:vAlign w:val="bottom"/>
          </w:tcPr>
          <w:p w:rsidR="00A06880" w:rsidRPr="00023A1D" w:rsidRDefault="00A06880" w:rsidP="00027D0B">
            <w:pPr>
              <w:jc w:val="center"/>
              <w:rPr>
                <w:b/>
              </w:rPr>
            </w:pPr>
            <w:r w:rsidRPr="00023A1D">
              <w:rPr>
                <w:b/>
              </w:rPr>
              <w:t>CSM</w:t>
            </w:r>
          </w:p>
        </w:tc>
        <w:tc>
          <w:tcPr>
            <w:tcW w:w="285" w:type="pct"/>
            <w:vAlign w:val="bottom"/>
          </w:tcPr>
          <w:p w:rsidR="00A06880" w:rsidRPr="00023A1D" w:rsidRDefault="00A06880" w:rsidP="00027D0B">
            <w:pPr>
              <w:jc w:val="center"/>
              <w:rPr>
                <w:b/>
              </w:rPr>
            </w:pPr>
            <w:r w:rsidRPr="00023A1D">
              <w:rPr>
                <w:b/>
              </w:rPr>
              <w:t>CSU</w:t>
            </w:r>
          </w:p>
        </w:tc>
        <w:tc>
          <w:tcPr>
            <w:tcW w:w="302" w:type="pct"/>
            <w:vAlign w:val="bottom"/>
          </w:tcPr>
          <w:p w:rsidR="00A06880" w:rsidRPr="00023A1D" w:rsidRDefault="00A06880" w:rsidP="00027D0B">
            <w:pPr>
              <w:jc w:val="center"/>
              <w:rPr>
                <w:b/>
              </w:rPr>
            </w:pPr>
            <w:r w:rsidRPr="00023A1D">
              <w:rPr>
                <w:b/>
              </w:rPr>
              <w:t>CSU – Global</w:t>
            </w:r>
          </w:p>
        </w:tc>
        <w:tc>
          <w:tcPr>
            <w:tcW w:w="306" w:type="pct"/>
            <w:vAlign w:val="bottom"/>
          </w:tcPr>
          <w:p w:rsidR="00A06880" w:rsidRPr="00023A1D" w:rsidRDefault="00A06880" w:rsidP="00027D0B">
            <w:pPr>
              <w:jc w:val="center"/>
              <w:rPr>
                <w:b/>
              </w:rPr>
            </w:pPr>
            <w:r w:rsidRPr="00023A1D">
              <w:rPr>
                <w:b/>
              </w:rPr>
              <w:t>CSU – Pueblo</w:t>
            </w:r>
          </w:p>
        </w:tc>
        <w:tc>
          <w:tcPr>
            <w:tcW w:w="336" w:type="pct"/>
            <w:vAlign w:val="bottom"/>
          </w:tcPr>
          <w:p w:rsidR="00A06880" w:rsidRPr="00023A1D" w:rsidRDefault="00A06880" w:rsidP="00027D0B">
            <w:pPr>
              <w:jc w:val="center"/>
              <w:rPr>
                <w:b/>
              </w:rPr>
            </w:pPr>
            <w:r w:rsidRPr="00023A1D">
              <w:rPr>
                <w:b/>
              </w:rPr>
              <w:t>FLC</w:t>
            </w:r>
          </w:p>
        </w:tc>
        <w:tc>
          <w:tcPr>
            <w:tcW w:w="319" w:type="pct"/>
            <w:vAlign w:val="bottom"/>
          </w:tcPr>
          <w:p w:rsidR="00A06880" w:rsidRPr="00023A1D" w:rsidRDefault="00A06880" w:rsidP="00027D0B">
            <w:pPr>
              <w:jc w:val="center"/>
              <w:rPr>
                <w:b/>
              </w:rPr>
            </w:pPr>
            <w:r w:rsidRPr="00023A1D">
              <w:rPr>
                <w:b/>
              </w:rPr>
              <w:t>MSU Denver</w:t>
            </w:r>
          </w:p>
        </w:tc>
        <w:tc>
          <w:tcPr>
            <w:tcW w:w="323" w:type="pct"/>
            <w:vAlign w:val="bottom"/>
          </w:tcPr>
          <w:p w:rsidR="00A06880" w:rsidRPr="00023A1D" w:rsidRDefault="00A06880" w:rsidP="00027D0B">
            <w:pPr>
              <w:jc w:val="center"/>
              <w:rPr>
                <w:b/>
              </w:rPr>
            </w:pPr>
            <w:r w:rsidRPr="00023A1D">
              <w:rPr>
                <w:b/>
              </w:rPr>
              <w:t>UCB</w:t>
            </w:r>
          </w:p>
        </w:tc>
        <w:tc>
          <w:tcPr>
            <w:tcW w:w="323" w:type="pct"/>
            <w:vAlign w:val="bottom"/>
          </w:tcPr>
          <w:p w:rsidR="00A06880" w:rsidRPr="00023A1D" w:rsidRDefault="00A06880" w:rsidP="00027D0B">
            <w:pPr>
              <w:jc w:val="center"/>
              <w:rPr>
                <w:b/>
              </w:rPr>
            </w:pPr>
            <w:r w:rsidRPr="00023A1D">
              <w:rPr>
                <w:b/>
              </w:rPr>
              <w:t>UCCS</w:t>
            </w:r>
          </w:p>
        </w:tc>
        <w:tc>
          <w:tcPr>
            <w:tcW w:w="323" w:type="pct"/>
            <w:vAlign w:val="bottom"/>
          </w:tcPr>
          <w:p w:rsidR="00A06880" w:rsidRPr="00023A1D" w:rsidRDefault="00A06880" w:rsidP="00027D0B">
            <w:pPr>
              <w:jc w:val="center"/>
              <w:rPr>
                <w:b/>
              </w:rPr>
            </w:pPr>
            <w:r w:rsidRPr="00023A1D">
              <w:rPr>
                <w:b/>
              </w:rPr>
              <w:t>UCD</w:t>
            </w:r>
          </w:p>
        </w:tc>
        <w:tc>
          <w:tcPr>
            <w:tcW w:w="285" w:type="pct"/>
            <w:vAlign w:val="bottom"/>
          </w:tcPr>
          <w:p w:rsidR="00A06880" w:rsidRPr="00023A1D" w:rsidRDefault="00A06880" w:rsidP="00027D0B">
            <w:pPr>
              <w:jc w:val="center"/>
              <w:rPr>
                <w:b/>
              </w:rPr>
            </w:pPr>
            <w:r w:rsidRPr="00023A1D">
              <w:rPr>
                <w:b/>
              </w:rPr>
              <w:t>UNC</w:t>
            </w:r>
          </w:p>
        </w:tc>
        <w:tc>
          <w:tcPr>
            <w:tcW w:w="311" w:type="pct"/>
            <w:vAlign w:val="bottom"/>
          </w:tcPr>
          <w:p w:rsidR="00A06880" w:rsidRPr="00023A1D" w:rsidRDefault="00A06880" w:rsidP="00027D0B">
            <w:pPr>
              <w:jc w:val="center"/>
              <w:rPr>
                <w:b/>
              </w:rPr>
            </w:pPr>
            <w:r w:rsidRPr="00023A1D">
              <w:rPr>
                <w:b/>
              </w:rPr>
              <w:t>WSCU</w:t>
            </w:r>
          </w:p>
        </w:tc>
      </w:tr>
      <w:tr w:rsidR="00A06880" w:rsidTr="00A06880">
        <w:tc>
          <w:tcPr>
            <w:tcW w:w="509" w:type="pct"/>
            <w:vAlign w:val="center"/>
          </w:tcPr>
          <w:p w:rsidR="00A06880" w:rsidRDefault="00A06880" w:rsidP="00027D0B">
            <w:pPr>
              <w:jc w:val="center"/>
              <w:rPr>
                <w:b/>
              </w:rPr>
            </w:pPr>
            <w:r>
              <w:rPr>
                <w:b/>
              </w:rPr>
              <w:t>English Literature &amp; Composition</w:t>
            </w:r>
          </w:p>
        </w:tc>
        <w:tc>
          <w:tcPr>
            <w:tcW w:w="264" w:type="pct"/>
            <w:vAlign w:val="center"/>
          </w:tcPr>
          <w:p w:rsidR="00A06880" w:rsidRPr="00B01BFD" w:rsidRDefault="00A06880" w:rsidP="00027D0B">
            <w:pPr>
              <w:jc w:val="center"/>
              <w:rPr>
                <w:b/>
              </w:rPr>
            </w:pPr>
            <w:r>
              <w:rPr>
                <w:b/>
              </w:rPr>
              <w:t>3</w:t>
            </w:r>
          </w:p>
        </w:tc>
        <w:tc>
          <w:tcPr>
            <w:tcW w:w="290"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251"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302" w:type="pct"/>
            <w:vAlign w:val="center"/>
          </w:tcPr>
          <w:p w:rsidR="00A06880" w:rsidRDefault="00A06880" w:rsidP="00027D0B">
            <w:pPr>
              <w:jc w:val="center"/>
            </w:pPr>
          </w:p>
        </w:tc>
        <w:tc>
          <w:tcPr>
            <w:tcW w:w="306" w:type="pct"/>
            <w:vAlign w:val="center"/>
          </w:tcPr>
          <w:p w:rsidR="00A06880" w:rsidRDefault="00A06880" w:rsidP="00027D0B">
            <w:pPr>
              <w:jc w:val="center"/>
            </w:pPr>
          </w:p>
        </w:tc>
        <w:tc>
          <w:tcPr>
            <w:tcW w:w="336" w:type="pct"/>
            <w:vAlign w:val="center"/>
          </w:tcPr>
          <w:p w:rsidR="00A06880" w:rsidRDefault="00A06880" w:rsidP="00027D0B">
            <w:pPr>
              <w:jc w:val="center"/>
            </w:pPr>
          </w:p>
        </w:tc>
        <w:tc>
          <w:tcPr>
            <w:tcW w:w="319" w:type="pct"/>
            <w:vAlign w:val="center"/>
          </w:tcPr>
          <w:p w:rsidR="00A06880" w:rsidRDefault="00A06880" w:rsidP="00027D0B">
            <w:pPr>
              <w:jc w:val="center"/>
            </w:pPr>
          </w:p>
        </w:tc>
        <w:tc>
          <w:tcPr>
            <w:tcW w:w="323" w:type="pct"/>
            <w:vAlign w:val="center"/>
          </w:tcPr>
          <w:p w:rsidR="00A06880" w:rsidRDefault="00A06880" w:rsidP="00027D0B">
            <w:pPr>
              <w:jc w:val="center"/>
            </w:pPr>
          </w:p>
        </w:tc>
        <w:tc>
          <w:tcPr>
            <w:tcW w:w="323" w:type="pct"/>
            <w:vAlign w:val="center"/>
          </w:tcPr>
          <w:p w:rsidR="00A06880" w:rsidRDefault="00A06880" w:rsidP="00027D0B">
            <w:pPr>
              <w:jc w:val="center"/>
            </w:pPr>
          </w:p>
        </w:tc>
        <w:tc>
          <w:tcPr>
            <w:tcW w:w="323"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311" w:type="pct"/>
            <w:vAlign w:val="center"/>
          </w:tcPr>
          <w:p w:rsidR="00A06880" w:rsidRDefault="00A06880" w:rsidP="00027D0B">
            <w:pPr>
              <w:jc w:val="center"/>
            </w:pPr>
          </w:p>
        </w:tc>
      </w:tr>
      <w:tr w:rsidR="00A06880" w:rsidTr="00A06880">
        <w:tc>
          <w:tcPr>
            <w:tcW w:w="509" w:type="pct"/>
            <w:vAlign w:val="center"/>
          </w:tcPr>
          <w:p w:rsidR="00A06880" w:rsidRDefault="00A06880" w:rsidP="00027D0B">
            <w:pPr>
              <w:jc w:val="center"/>
              <w:rPr>
                <w:b/>
              </w:rPr>
            </w:pPr>
          </w:p>
        </w:tc>
        <w:tc>
          <w:tcPr>
            <w:tcW w:w="264" w:type="pct"/>
            <w:vAlign w:val="center"/>
          </w:tcPr>
          <w:p w:rsidR="00A06880" w:rsidRPr="00B01BFD" w:rsidRDefault="00A06880" w:rsidP="00027D0B">
            <w:pPr>
              <w:jc w:val="center"/>
              <w:rPr>
                <w:b/>
              </w:rPr>
            </w:pPr>
            <w:r>
              <w:rPr>
                <w:b/>
              </w:rPr>
              <w:t>4</w:t>
            </w:r>
          </w:p>
        </w:tc>
        <w:tc>
          <w:tcPr>
            <w:tcW w:w="290"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251"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302" w:type="pct"/>
            <w:vAlign w:val="center"/>
          </w:tcPr>
          <w:p w:rsidR="00A06880" w:rsidRDefault="00A06880" w:rsidP="00027D0B">
            <w:pPr>
              <w:jc w:val="center"/>
            </w:pPr>
          </w:p>
        </w:tc>
        <w:tc>
          <w:tcPr>
            <w:tcW w:w="306" w:type="pct"/>
            <w:vAlign w:val="center"/>
          </w:tcPr>
          <w:p w:rsidR="00A06880" w:rsidRDefault="00A06880" w:rsidP="00027D0B">
            <w:pPr>
              <w:jc w:val="center"/>
            </w:pPr>
          </w:p>
        </w:tc>
        <w:tc>
          <w:tcPr>
            <w:tcW w:w="336" w:type="pct"/>
            <w:vAlign w:val="center"/>
          </w:tcPr>
          <w:p w:rsidR="00A06880" w:rsidRDefault="00A06880" w:rsidP="00027D0B">
            <w:pPr>
              <w:jc w:val="center"/>
            </w:pPr>
          </w:p>
        </w:tc>
        <w:tc>
          <w:tcPr>
            <w:tcW w:w="319" w:type="pct"/>
            <w:vAlign w:val="center"/>
          </w:tcPr>
          <w:p w:rsidR="00A06880" w:rsidRDefault="00A06880" w:rsidP="00027D0B">
            <w:pPr>
              <w:jc w:val="center"/>
            </w:pPr>
          </w:p>
        </w:tc>
        <w:tc>
          <w:tcPr>
            <w:tcW w:w="323" w:type="pct"/>
            <w:vAlign w:val="center"/>
          </w:tcPr>
          <w:p w:rsidR="00A06880" w:rsidRDefault="00A06880" w:rsidP="00027D0B">
            <w:pPr>
              <w:jc w:val="center"/>
            </w:pPr>
          </w:p>
        </w:tc>
        <w:tc>
          <w:tcPr>
            <w:tcW w:w="323" w:type="pct"/>
            <w:vAlign w:val="center"/>
          </w:tcPr>
          <w:p w:rsidR="00A06880" w:rsidRDefault="00A06880" w:rsidP="00027D0B">
            <w:pPr>
              <w:jc w:val="center"/>
            </w:pPr>
          </w:p>
        </w:tc>
        <w:tc>
          <w:tcPr>
            <w:tcW w:w="323"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311" w:type="pct"/>
            <w:vAlign w:val="center"/>
          </w:tcPr>
          <w:p w:rsidR="00A06880" w:rsidRDefault="00A06880" w:rsidP="00027D0B">
            <w:pPr>
              <w:jc w:val="center"/>
            </w:pPr>
          </w:p>
        </w:tc>
      </w:tr>
      <w:tr w:rsidR="00A06880" w:rsidTr="00A06880">
        <w:tc>
          <w:tcPr>
            <w:tcW w:w="509" w:type="pct"/>
            <w:tcBorders>
              <w:bottom w:val="single" w:sz="4" w:space="0" w:color="auto"/>
            </w:tcBorders>
            <w:vAlign w:val="center"/>
          </w:tcPr>
          <w:p w:rsidR="00A06880" w:rsidRDefault="00A06880" w:rsidP="00027D0B">
            <w:pPr>
              <w:jc w:val="center"/>
              <w:rPr>
                <w:b/>
              </w:rPr>
            </w:pPr>
          </w:p>
        </w:tc>
        <w:tc>
          <w:tcPr>
            <w:tcW w:w="264" w:type="pct"/>
            <w:tcBorders>
              <w:bottom w:val="single" w:sz="4" w:space="0" w:color="auto"/>
            </w:tcBorders>
            <w:vAlign w:val="center"/>
          </w:tcPr>
          <w:p w:rsidR="00A06880" w:rsidRPr="00B01BFD" w:rsidRDefault="00A06880" w:rsidP="00027D0B">
            <w:pPr>
              <w:jc w:val="center"/>
              <w:rPr>
                <w:b/>
              </w:rPr>
            </w:pPr>
            <w:r>
              <w:rPr>
                <w:b/>
              </w:rPr>
              <w:t>5</w:t>
            </w:r>
          </w:p>
        </w:tc>
        <w:tc>
          <w:tcPr>
            <w:tcW w:w="290" w:type="pct"/>
            <w:tcBorders>
              <w:bottom w:val="single" w:sz="4" w:space="0" w:color="auto"/>
            </w:tcBorders>
            <w:vAlign w:val="center"/>
          </w:tcPr>
          <w:p w:rsidR="00A06880" w:rsidRDefault="00A06880" w:rsidP="00027D0B">
            <w:pPr>
              <w:jc w:val="center"/>
            </w:pPr>
          </w:p>
        </w:tc>
        <w:tc>
          <w:tcPr>
            <w:tcW w:w="285" w:type="pct"/>
            <w:tcBorders>
              <w:bottom w:val="single" w:sz="4" w:space="0" w:color="auto"/>
            </w:tcBorders>
            <w:vAlign w:val="center"/>
          </w:tcPr>
          <w:p w:rsidR="00A06880" w:rsidRDefault="00A06880" w:rsidP="00027D0B">
            <w:pPr>
              <w:jc w:val="center"/>
            </w:pPr>
          </w:p>
        </w:tc>
        <w:tc>
          <w:tcPr>
            <w:tcW w:w="285" w:type="pct"/>
            <w:tcBorders>
              <w:bottom w:val="single" w:sz="4" w:space="0" w:color="auto"/>
            </w:tcBorders>
            <w:vAlign w:val="center"/>
          </w:tcPr>
          <w:p w:rsidR="00A06880" w:rsidRDefault="00A06880" w:rsidP="00027D0B">
            <w:pPr>
              <w:jc w:val="center"/>
            </w:pPr>
          </w:p>
        </w:tc>
        <w:tc>
          <w:tcPr>
            <w:tcW w:w="251" w:type="pct"/>
            <w:tcBorders>
              <w:bottom w:val="single" w:sz="4" w:space="0" w:color="auto"/>
            </w:tcBorders>
            <w:vAlign w:val="center"/>
          </w:tcPr>
          <w:p w:rsidR="00A06880" w:rsidRDefault="00A06880" w:rsidP="00027D0B">
            <w:pPr>
              <w:jc w:val="center"/>
            </w:pPr>
          </w:p>
        </w:tc>
        <w:tc>
          <w:tcPr>
            <w:tcW w:w="285" w:type="pct"/>
            <w:tcBorders>
              <w:bottom w:val="single" w:sz="4" w:space="0" w:color="auto"/>
            </w:tcBorders>
            <w:vAlign w:val="center"/>
          </w:tcPr>
          <w:p w:rsidR="00A06880" w:rsidRDefault="00A06880" w:rsidP="00027D0B">
            <w:pPr>
              <w:jc w:val="center"/>
            </w:pPr>
          </w:p>
        </w:tc>
        <w:tc>
          <w:tcPr>
            <w:tcW w:w="302" w:type="pct"/>
            <w:tcBorders>
              <w:bottom w:val="single" w:sz="4" w:space="0" w:color="auto"/>
            </w:tcBorders>
            <w:vAlign w:val="center"/>
          </w:tcPr>
          <w:p w:rsidR="00A06880" w:rsidRDefault="00A06880" w:rsidP="00027D0B">
            <w:pPr>
              <w:jc w:val="center"/>
            </w:pPr>
          </w:p>
        </w:tc>
        <w:tc>
          <w:tcPr>
            <w:tcW w:w="306" w:type="pct"/>
            <w:tcBorders>
              <w:bottom w:val="single" w:sz="4" w:space="0" w:color="auto"/>
            </w:tcBorders>
            <w:vAlign w:val="center"/>
          </w:tcPr>
          <w:p w:rsidR="00A06880" w:rsidRDefault="00A06880" w:rsidP="00027D0B">
            <w:pPr>
              <w:jc w:val="center"/>
            </w:pPr>
          </w:p>
        </w:tc>
        <w:tc>
          <w:tcPr>
            <w:tcW w:w="336" w:type="pct"/>
            <w:tcBorders>
              <w:bottom w:val="single" w:sz="4" w:space="0" w:color="auto"/>
            </w:tcBorders>
            <w:vAlign w:val="center"/>
          </w:tcPr>
          <w:p w:rsidR="00A06880" w:rsidRDefault="00A06880" w:rsidP="00027D0B">
            <w:pPr>
              <w:jc w:val="center"/>
            </w:pPr>
          </w:p>
        </w:tc>
        <w:tc>
          <w:tcPr>
            <w:tcW w:w="319" w:type="pct"/>
            <w:tcBorders>
              <w:bottom w:val="single" w:sz="4" w:space="0" w:color="auto"/>
            </w:tcBorders>
            <w:vAlign w:val="center"/>
          </w:tcPr>
          <w:p w:rsidR="00A06880" w:rsidRDefault="00A06880" w:rsidP="00027D0B">
            <w:pPr>
              <w:jc w:val="center"/>
            </w:pPr>
          </w:p>
        </w:tc>
        <w:tc>
          <w:tcPr>
            <w:tcW w:w="323" w:type="pct"/>
            <w:tcBorders>
              <w:bottom w:val="single" w:sz="4" w:space="0" w:color="auto"/>
            </w:tcBorders>
            <w:vAlign w:val="center"/>
          </w:tcPr>
          <w:p w:rsidR="00A06880" w:rsidRDefault="00A06880" w:rsidP="00027D0B">
            <w:pPr>
              <w:jc w:val="center"/>
            </w:pPr>
          </w:p>
        </w:tc>
        <w:tc>
          <w:tcPr>
            <w:tcW w:w="323" w:type="pct"/>
            <w:tcBorders>
              <w:bottom w:val="single" w:sz="4" w:space="0" w:color="auto"/>
            </w:tcBorders>
            <w:vAlign w:val="center"/>
          </w:tcPr>
          <w:p w:rsidR="00A06880" w:rsidRDefault="00A06880" w:rsidP="00027D0B">
            <w:pPr>
              <w:jc w:val="center"/>
            </w:pPr>
          </w:p>
        </w:tc>
        <w:tc>
          <w:tcPr>
            <w:tcW w:w="323" w:type="pct"/>
            <w:tcBorders>
              <w:bottom w:val="single" w:sz="4" w:space="0" w:color="auto"/>
            </w:tcBorders>
            <w:vAlign w:val="center"/>
          </w:tcPr>
          <w:p w:rsidR="00A06880" w:rsidRDefault="00A06880" w:rsidP="00027D0B">
            <w:pPr>
              <w:jc w:val="center"/>
            </w:pPr>
          </w:p>
        </w:tc>
        <w:tc>
          <w:tcPr>
            <w:tcW w:w="285" w:type="pct"/>
            <w:tcBorders>
              <w:bottom w:val="single" w:sz="4" w:space="0" w:color="auto"/>
            </w:tcBorders>
            <w:vAlign w:val="center"/>
          </w:tcPr>
          <w:p w:rsidR="00A06880" w:rsidRDefault="00A06880" w:rsidP="00027D0B">
            <w:pPr>
              <w:jc w:val="center"/>
            </w:pPr>
          </w:p>
        </w:tc>
        <w:tc>
          <w:tcPr>
            <w:tcW w:w="311" w:type="pct"/>
            <w:tcBorders>
              <w:bottom w:val="single" w:sz="4" w:space="0" w:color="auto"/>
            </w:tcBorders>
            <w:vAlign w:val="center"/>
          </w:tcPr>
          <w:p w:rsidR="00A06880" w:rsidRDefault="00A06880" w:rsidP="00027D0B">
            <w:pPr>
              <w:jc w:val="center"/>
            </w:pPr>
          </w:p>
        </w:tc>
      </w:tr>
      <w:tr w:rsidR="00A06880" w:rsidTr="00A06880">
        <w:tc>
          <w:tcPr>
            <w:tcW w:w="5000" w:type="pct"/>
            <w:gridSpan w:val="16"/>
            <w:shd w:val="pct40" w:color="auto" w:fill="auto"/>
            <w:vAlign w:val="center"/>
          </w:tcPr>
          <w:p w:rsidR="00A06880" w:rsidRDefault="00A06880" w:rsidP="00027D0B">
            <w:pPr>
              <w:jc w:val="center"/>
            </w:pPr>
          </w:p>
        </w:tc>
      </w:tr>
      <w:tr w:rsidR="00A06880" w:rsidTr="00A06880">
        <w:tc>
          <w:tcPr>
            <w:tcW w:w="5000" w:type="pct"/>
            <w:gridSpan w:val="16"/>
            <w:shd w:val="pct5" w:color="auto" w:fill="auto"/>
            <w:vAlign w:val="center"/>
          </w:tcPr>
          <w:p w:rsidR="00A06880" w:rsidRDefault="00A06880" w:rsidP="00027D0B">
            <w:pPr>
              <w:jc w:val="center"/>
            </w:pPr>
            <w:r>
              <w:rPr>
                <w:b/>
              </w:rPr>
              <w:t xml:space="preserve">History &amp; Social Sciences - </w:t>
            </w:r>
            <w:r w:rsidRPr="00083995">
              <w:rPr>
                <w:b/>
              </w:rPr>
              <w:t>Advanced Placement (AP) Exams  [Course Prefix(</w:t>
            </w:r>
            <w:proofErr w:type="spellStart"/>
            <w:r w:rsidRPr="00083995">
              <w:rPr>
                <w:b/>
              </w:rPr>
              <w:t>es</w:t>
            </w:r>
            <w:proofErr w:type="spellEnd"/>
            <w:r w:rsidRPr="00083995">
              <w:rPr>
                <w:b/>
              </w:rPr>
              <w:t>), Number(s), and Credit Hours Awarded]</w:t>
            </w:r>
          </w:p>
        </w:tc>
      </w:tr>
      <w:tr w:rsidR="00A06880" w:rsidTr="00A06880">
        <w:tc>
          <w:tcPr>
            <w:tcW w:w="509" w:type="pct"/>
            <w:vAlign w:val="bottom"/>
          </w:tcPr>
          <w:p w:rsidR="00A06880" w:rsidRPr="00023A1D" w:rsidRDefault="00A06880" w:rsidP="00027D0B">
            <w:pPr>
              <w:jc w:val="center"/>
              <w:rPr>
                <w:b/>
              </w:rPr>
            </w:pPr>
            <w:r w:rsidRPr="00023A1D">
              <w:rPr>
                <w:b/>
              </w:rPr>
              <w:t>AP Exam</w:t>
            </w:r>
          </w:p>
        </w:tc>
        <w:tc>
          <w:tcPr>
            <w:tcW w:w="264" w:type="pct"/>
            <w:vAlign w:val="bottom"/>
          </w:tcPr>
          <w:p w:rsidR="00A06880" w:rsidRPr="00023A1D" w:rsidRDefault="00A06880" w:rsidP="00027D0B">
            <w:pPr>
              <w:jc w:val="center"/>
              <w:rPr>
                <w:b/>
              </w:rPr>
            </w:pPr>
            <w:r w:rsidRPr="00023A1D">
              <w:rPr>
                <w:b/>
              </w:rPr>
              <w:t>Score</w:t>
            </w:r>
          </w:p>
        </w:tc>
        <w:tc>
          <w:tcPr>
            <w:tcW w:w="290" w:type="pct"/>
            <w:vAlign w:val="bottom"/>
          </w:tcPr>
          <w:p w:rsidR="00A06880" w:rsidRPr="00023A1D" w:rsidRDefault="00A06880" w:rsidP="00027D0B">
            <w:pPr>
              <w:jc w:val="center"/>
              <w:rPr>
                <w:b/>
              </w:rPr>
            </w:pPr>
            <w:r w:rsidRPr="00023A1D">
              <w:rPr>
                <w:b/>
              </w:rPr>
              <w:t>Aims, CCCS &amp; CMC</w:t>
            </w:r>
          </w:p>
        </w:tc>
        <w:tc>
          <w:tcPr>
            <w:tcW w:w="285" w:type="pct"/>
            <w:vAlign w:val="bottom"/>
          </w:tcPr>
          <w:p w:rsidR="00A06880" w:rsidRPr="00023A1D" w:rsidRDefault="00A06880" w:rsidP="00027D0B">
            <w:pPr>
              <w:jc w:val="center"/>
              <w:rPr>
                <w:b/>
              </w:rPr>
            </w:pPr>
            <w:r w:rsidRPr="00023A1D">
              <w:rPr>
                <w:b/>
              </w:rPr>
              <w:t>ASU</w:t>
            </w:r>
          </w:p>
        </w:tc>
        <w:tc>
          <w:tcPr>
            <w:tcW w:w="285" w:type="pct"/>
            <w:vAlign w:val="bottom"/>
          </w:tcPr>
          <w:p w:rsidR="00A06880" w:rsidRPr="00023A1D" w:rsidRDefault="00A06880" w:rsidP="00027D0B">
            <w:pPr>
              <w:jc w:val="center"/>
              <w:rPr>
                <w:b/>
              </w:rPr>
            </w:pPr>
            <w:r w:rsidRPr="00023A1D">
              <w:rPr>
                <w:b/>
              </w:rPr>
              <w:t>CMU</w:t>
            </w:r>
          </w:p>
        </w:tc>
        <w:tc>
          <w:tcPr>
            <w:tcW w:w="251" w:type="pct"/>
            <w:vAlign w:val="bottom"/>
          </w:tcPr>
          <w:p w:rsidR="00A06880" w:rsidRPr="00023A1D" w:rsidRDefault="00A06880" w:rsidP="00027D0B">
            <w:pPr>
              <w:jc w:val="center"/>
              <w:rPr>
                <w:b/>
              </w:rPr>
            </w:pPr>
            <w:r w:rsidRPr="00023A1D">
              <w:rPr>
                <w:b/>
              </w:rPr>
              <w:t>CSM</w:t>
            </w:r>
          </w:p>
        </w:tc>
        <w:tc>
          <w:tcPr>
            <w:tcW w:w="285" w:type="pct"/>
            <w:vAlign w:val="bottom"/>
          </w:tcPr>
          <w:p w:rsidR="00A06880" w:rsidRPr="00023A1D" w:rsidRDefault="00A06880" w:rsidP="00027D0B">
            <w:pPr>
              <w:jc w:val="center"/>
              <w:rPr>
                <w:b/>
              </w:rPr>
            </w:pPr>
            <w:r w:rsidRPr="00023A1D">
              <w:rPr>
                <w:b/>
              </w:rPr>
              <w:t>CSU</w:t>
            </w:r>
          </w:p>
        </w:tc>
        <w:tc>
          <w:tcPr>
            <w:tcW w:w="302" w:type="pct"/>
            <w:vAlign w:val="bottom"/>
          </w:tcPr>
          <w:p w:rsidR="00A06880" w:rsidRPr="00023A1D" w:rsidRDefault="00A06880" w:rsidP="00027D0B">
            <w:pPr>
              <w:jc w:val="center"/>
              <w:rPr>
                <w:b/>
              </w:rPr>
            </w:pPr>
            <w:r w:rsidRPr="00023A1D">
              <w:rPr>
                <w:b/>
              </w:rPr>
              <w:t>CSU – Global</w:t>
            </w:r>
          </w:p>
        </w:tc>
        <w:tc>
          <w:tcPr>
            <w:tcW w:w="306" w:type="pct"/>
            <w:vAlign w:val="bottom"/>
          </w:tcPr>
          <w:p w:rsidR="00A06880" w:rsidRPr="00023A1D" w:rsidRDefault="00A06880" w:rsidP="00027D0B">
            <w:pPr>
              <w:jc w:val="center"/>
              <w:rPr>
                <w:b/>
              </w:rPr>
            </w:pPr>
            <w:r w:rsidRPr="00023A1D">
              <w:rPr>
                <w:b/>
              </w:rPr>
              <w:t>CSU – Pueblo</w:t>
            </w:r>
          </w:p>
        </w:tc>
        <w:tc>
          <w:tcPr>
            <w:tcW w:w="336" w:type="pct"/>
            <w:vAlign w:val="bottom"/>
          </w:tcPr>
          <w:p w:rsidR="00A06880" w:rsidRPr="00023A1D" w:rsidRDefault="00A06880" w:rsidP="00027D0B">
            <w:pPr>
              <w:jc w:val="center"/>
              <w:rPr>
                <w:b/>
              </w:rPr>
            </w:pPr>
            <w:r w:rsidRPr="00023A1D">
              <w:rPr>
                <w:b/>
              </w:rPr>
              <w:t>FLC</w:t>
            </w:r>
          </w:p>
        </w:tc>
        <w:tc>
          <w:tcPr>
            <w:tcW w:w="319" w:type="pct"/>
            <w:vAlign w:val="bottom"/>
          </w:tcPr>
          <w:p w:rsidR="00A06880" w:rsidRPr="00023A1D" w:rsidRDefault="00A06880" w:rsidP="00027D0B">
            <w:pPr>
              <w:jc w:val="center"/>
              <w:rPr>
                <w:b/>
              </w:rPr>
            </w:pPr>
            <w:r w:rsidRPr="00023A1D">
              <w:rPr>
                <w:b/>
              </w:rPr>
              <w:t>MSU Denver</w:t>
            </w:r>
          </w:p>
        </w:tc>
        <w:tc>
          <w:tcPr>
            <w:tcW w:w="323" w:type="pct"/>
            <w:vAlign w:val="bottom"/>
          </w:tcPr>
          <w:p w:rsidR="00A06880" w:rsidRPr="00023A1D" w:rsidRDefault="00A06880" w:rsidP="00027D0B">
            <w:pPr>
              <w:jc w:val="center"/>
              <w:rPr>
                <w:b/>
              </w:rPr>
            </w:pPr>
            <w:r w:rsidRPr="00023A1D">
              <w:rPr>
                <w:b/>
              </w:rPr>
              <w:t>UCB</w:t>
            </w:r>
          </w:p>
        </w:tc>
        <w:tc>
          <w:tcPr>
            <w:tcW w:w="323" w:type="pct"/>
            <w:vAlign w:val="bottom"/>
          </w:tcPr>
          <w:p w:rsidR="00A06880" w:rsidRPr="00023A1D" w:rsidRDefault="00A06880" w:rsidP="00027D0B">
            <w:pPr>
              <w:jc w:val="center"/>
              <w:rPr>
                <w:b/>
              </w:rPr>
            </w:pPr>
            <w:r w:rsidRPr="00023A1D">
              <w:rPr>
                <w:b/>
              </w:rPr>
              <w:t>UCCS</w:t>
            </w:r>
          </w:p>
        </w:tc>
        <w:tc>
          <w:tcPr>
            <w:tcW w:w="323" w:type="pct"/>
            <w:vAlign w:val="bottom"/>
          </w:tcPr>
          <w:p w:rsidR="00A06880" w:rsidRPr="00023A1D" w:rsidRDefault="00A06880" w:rsidP="00027D0B">
            <w:pPr>
              <w:jc w:val="center"/>
              <w:rPr>
                <w:b/>
              </w:rPr>
            </w:pPr>
            <w:r w:rsidRPr="00023A1D">
              <w:rPr>
                <w:b/>
              </w:rPr>
              <w:t>UCD</w:t>
            </w:r>
          </w:p>
        </w:tc>
        <w:tc>
          <w:tcPr>
            <w:tcW w:w="285" w:type="pct"/>
            <w:vAlign w:val="bottom"/>
          </w:tcPr>
          <w:p w:rsidR="00A06880" w:rsidRPr="00023A1D" w:rsidRDefault="00A06880" w:rsidP="00027D0B">
            <w:pPr>
              <w:jc w:val="center"/>
              <w:rPr>
                <w:b/>
              </w:rPr>
            </w:pPr>
            <w:r w:rsidRPr="00023A1D">
              <w:rPr>
                <w:b/>
              </w:rPr>
              <w:t>UNC</w:t>
            </w:r>
          </w:p>
        </w:tc>
        <w:tc>
          <w:tcPr>
            <w:tcW w:w="311" w:type="pct"/>
            <w:vAlign w:val="bottom"/>
          </w:tcPr>
          <w:p w:rsidR="00A06880" w:rsidRPr="00023A1D" w:rsidRDefault="00A06880" w:rsidP="00027D0B">
            <w:pPr>
              <w:jc w:val="center"/>
              <w:rPr>
                <w:b/>
              </w:rPr>
            </w:pPr>
            <w:r w:rsidRPr="00023A1D">
              <w:rPr>
                <w:b/>
              </w:rPr>
              <w:t>WSCU</w:t>
            </w:r>
          </w:p>
        </w:tc>
      </w:tr>
      <w:tr w:rsidR="00A06880" w:rsidTr="00A06880">
        <w:tc>
          <w:tcPr>
            <w:tcW w:w="509" w:type="pct"/>
            <w:vAlign w:val="center"/>
          </w:tcPr>
          <w:p w:rsidR="00A06880" w:rsidRDefault="00A06880" w:rsidP="00027D0B">
            <w:pPr>
              <w:jc w:val="center"/>
              <w:rPr>
                <w:b/>
              </w:rPr>
            </w:pPr>
            <w:r>
              <w:rPr>
                <w:b/>
              </w:rPr>
              <w:t>Comparative Government &amp; Politics</w:t>
            </w:r>
          </w:p>
        </w:tc>
        <w:tc>
          <w:tcPr>
            <w:tcW w:w="264" w:type="pct"/>
            <w:vAlign w:val="center"/>
          </w:tcPr>
          <w:p w:rsidR="00A06880" w:rsidRPr="00B01BFD" w:rsidRDefault="00A06880" w:rsidP="00027D0B">
            <w:pPr>
              <w:jc w:val="center"/>
              <w:rPr>
                <w:b/>
              </w:rPr>
            </w:pPr>
            <w:r>
              <w:rPr>
                <w:b/>
              </w:rPr>
              <w:t>3</w:t>
            </w:r>
          </w:p>
        </w:tc>
        <w:tc>
          <w:tcPr>
            <w:tcW w:w="290" w:type="pct"/>
            <w:vAlign w:val="center"/>
          </w:tcPr>
          <w:p w:rsidR="00A06880" w:rsidRDefault="00A06880" w:rsidP="00027D0B">
            <w:pPr>
              <w:jc w:val="center"/>
            </w:pPr>
            <w:r>
              <w:t>POS 225(3)</w:t>
            </w:r>
          </w:p>
          <w:p w:rsidR="00A06880" w:rsidRDefault="00244DB6" w:rsidP="00027D0B">
            <w:pPr>
              <w:jc w:val="center"/>
            </w:pPr>
            <w:hyperlink r:id="rId119" w:history="1">
              <w:r w:rsidR="00A06880" w:rsidRPr="00866B78">
                <w:rPr>
                  <w:rStyle w:val="Hyperlink"/>
                </w:rPr>
                <w:t>GT-SS1</w:t>
              </w:r>
            </w:hyperlink>
          </w:p>
        </w:tc>
        <w:tc>
          <w:tcPr>
            <w:tcW w:w="285"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251"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302" w:type="pct"/>
            <w:vAlign w:val="center"/>
          </w:tcPr>
          <w:p w:rsidR="00A06880" w:rsidRDefault="00A06880" w:rsidP="00027D0B">
            <w:pPr>
              <w:jc w:val="center"/>
            </w:pPr>
          </w:p>
        </w:tc>
        <w:tc>
          <w:tcPr>
            <w:tcW w:w="306" w:type="pct"/>
            <w:vAlign w:val="center"/>
          </w:tcPr>
          <w:p w:rsidR="00A06880" w:rsidRDefault="00A06880" w:rsidP="00027D0B">
            <w:pPr>
              <w:jc w:val="center"/>
            </w:pPr>
          </w:p>
        </w:tc>
        <w:tc>
          <w:tcPr>
            <w:tcW w:w="336" w:type="pct"/>
            <w:vAlign w:val="center"/>
          </w:tcPr>
          <w:p w:rsidR="00A06880" w:rsidRDefault="00A06880" w:rsidP="00027D0B">
            <w:pPr>
              <w:jc w:val="center"/>
            </w:pPr>
          </w:p>
        </w:tc>
        <w:tc>
          <w:tcPr>
            <w:tcW w:w="319" w:type="pct"/>
            <w:vAlign w:val="center"/>
          </w:tcPr>
          <w:p w:rsidR="00A06880" w:rsidRDefault="00A06880" w:rsidP="00027D0B">
            <w:pPr>
              <w:jc w:val="center"/>
            </w:pPr>
          </w:p>
        </w:tc>
        <w:tc>
          <w:tcPr>
            <w:tcW w:w="323" w:type="pct"/>
            <w:vAlign w:val="center"/>
          </w:tcPr>
          <w:p w:rsidR="00A06880" w:rsidRDefault="00A06880" w:rsidP="00027D0B">
            <w:pPr>
              <w:jc w:val="center"/>
            </w:pPr>
          </w:p>
        </w:tc>
        <w:tc>
          <w:tcPr>
            <w:tcW w:w="323" w:type="pct"/>
            <w:vAlign w:val="center"/>
          </w:tcPr>
          <w:p w:rsidR="00A06880" w:rsidRDefault="00A06880" w:rsidP="00027D0B">
            <w:pPr>
              <w:jc w:val="center"/>
            </w:pPr>
          </w:p>
        </w:tc>
        <w:tc>
          <w:tcPr>
            <w:tcW w:w="323"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311" w:type="pct"/>
            <w:vAlign w:val="center"/>
          </w:tcPr>
          <w:p w:rsidR="00A06880" w:rsidRDefault="00A06880" w:rsidP="00027D0B">
            <w:pPr>
              <w:jc w:val="center"/>
            </w:pPr>
          </w:p>
        </w:tc>
      </w:tr>
      <w:tr w:rsidR="00A06880" w:rsidTr="00A06880">
        <w:tc>
          <w:tcPr>
            <w:tcW w:w="509" w:type="pct"/>
            <w:vAlign w:val="center"/>
          </w:tcPr>
          <w:p w:rsidR="00A06880" w:rsidRDefault="00A06880" w:rsidP="00027D0B">
            <w:pPr>
              <w:jc w:val="center"/>
              <w:rPr>
                <w:b/>
              </w:rPr>
            </w:pPr>
          </w:p>
        </w:tc>
        <w:tc>
          <w:tcPr>
            <w:tcW w:w="264" w:type="pct"/>
            <w:vAlign w:val="center"/>
          </w:tcPr>
          <w:p w:rsidR="00A06880" w:rsidRPr="00B01BFD" w:rsidRDefault="00A06880" w:rsidP="00027D0B">
            <w:pPr>
              <w:jc w:val="center"/>
              <w:rPr>
                <w:b/>
              </w:rPr>
            </w:pPr>
            <w:r>
              <w:rPr>
                <w:b/>
              </w:rPr>
              <w:t>4</w:t>
            </w:r>
          </w:p>
        </w:tc>
        <w:tc>
          <w:tcPr>
            <w:tcW w:w="290"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251"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302" w:type="pct"/>
            <w:vAlign w:val="center"/>
          </w:tcPr>
          <w:p w:rsidR="00A06880" w:rsidRDefault="00A06880" w:rsidP="00027D0B">
            <w:pPr>
              <w:jc w:val="center"/>
            </w:pPr>
          </w:p>
        </w:tc>
        <w:tc>
          <w:tcPr>
            <w:tcW w:w="306" w:type="pct"/>
            <w:vAlign w:val="center"/>
          </w:tcPr>
          <w:p w:rsidR="00A06880" w:rsidRDefault="00A06880" w:rsidP="00027D0B">
            <w:pPr>
              <w:jc w:val="center"/>
            </w:pPr>
          </w:p>
        </w:tc>
        <w:tc>
          <w:tcPr>
            <w:tcW w:w="336" w:type="pct"/>
            <w:vAlign w:val="center"/>
          </w:tcPr>
          <w:p w:rsidR="00A06880" w:rsidRDefault="00A06880" w:rsidP="00027D0B">
            <w:pPr>
              <w:jc w:val="center"/>
            </w:pPr>
          </w:p>
        </w:tc>
        <w:tc>
          <w:tcPr>
            <w:tcW w:w="319" w:type="pct"/>
            <w:vAlign w:val="center"/>
          </w:tcPr>
          <w:p w:rsidR="00A06880" w:rsidRDefault="00A06880" w:rsidP="00027D0B">
            <w:pPr>
              <w:jc w:val="center"/>
            </w:pPr>
          </w:p>
        </w:tc>
        <w:tc>
          <w:tcPr>
            <w:tcW w:w="323" w:type="pct"/>
            <w:vAlign w:val="center"/>
          </w:tcPr>
          <w:p w:rsidR="00A06880" w:rsidRDefault="00A06880" w:rsidP="00027D0B">
            <w:pPr>
              <w:jc w:val="center"/>
            </w:pPr>
          </w:p>
        </w:tc>
        <w:tc>
          <w:tcPr>
            <w:tcW w:w="323" w:type="pct"/>
            <w:vAlign w:val="center"/>
          </w:tcPr>
          <w:p w:rsidR="00A06880" w:rsidRDefault="00A06880" w:rsidP="00027D0B">
            <w:pPr>
              <w:jc w:val="center"/>
            </w:pPr>
          </w:p>
        </w:tc>
        <w:tc>
          <w:tcPr>
            <w:tcW w:w="323" w:type="pct"/>
            <w:vAlign w:val="center"/>
          </w:tcPr>
          <w:p w:rsidR="00A06880" w:rsidRDefault="00A06880" w:rsidP="00027D0B">
            <w:pPr>
              <w:jc w:val="center"/>
            </w:pPr>
          </w:p>
        </w:tc>
        <w:tc>
          <w:tcPr>
            <w:tcW w:w="285" w:type="pct"/>
            <w:vAlign w:val="center"/>
          </w:tcPr>
          <w:p w:rsidR="00A06880" w:rsidRDefault="00A06880" w:rsidP="00027D0B">
            <w:pPr>
              <w:jc w:val="center"/>
            </w:pPr>
          </w:p>
        </w:tc>
        <w:tc>
          <w:tcPr>
            <w:tcW w:w="311" w:type="pct"/>
            <w:vAlign w:val="center"/>
          </w:tcPr>
          <w:p w:rsidR="00A06880" w:rsidRDefault="00A06880" w:rsidP="00027D0B">
            <w:pPr>
              <w:jc w:val="center"/>
            </w:pPr>
          </w:p>
        </w:tc>
      </w:tr>
      <w:tr w:rsidR="00A06880" w:rsidTr="00A06880">
        <w:tc>
          <w:tcPr>
            <w:tcW w:w="509" w:type="pct"/>
            <w:tcBorders>
              <w:bottom w:val="single" w:sz="4" w:space="0" w:color="auto"/>
            </w:tcBorders>
            <w:vAlign w:val="center"/>
          </w:tcPr>
          <w:p w:rsidR="00A06880" w:rsidRDefault="00A06880" w:rsidP="00027D0B">
            <w:pPr>
              <w:jc w:val="center"/>
              <w:rPr>
                <w:b/>
              </w:rPr>
            </w:pPr>
          </w:p>
        </w:tc>
        <w:tc>
          <w:tcPr>
            <w:tcW w:w="264" w:type="pct"/>
            <w:tcBorders>
              <w:bottom w:val="single" w:sz="4" w:space="0" w:color="auto"/>
            </w:tcBorders>
            <w:vAlign w:val="center"/>
          </w:tcPr>
          <w:p w:rsidR="00A06880" w:rsidRPr="00B01BFD" w:rsidRDefault="00A06880" w:rsidP="00027D0B">
            <w:pPr>
              <w:jc w:val="center"/>
              <w:rPr>
                <w:b/>
              </w:rPr>
            </w:pPr>
            <w:r>
              <w:rPr>
                <w:b/>
              </w:rPr>
              <w:t>5</w:t>
            </w:r>
          </w:p>
        </w:tc>
        <w:tc>
          <w:tcPr>
            <w:tcW w:w="290" w:type="pct"/>
            <w:tcBorders>
              <w:bottom w:val="single" w:sz="4" w:space="0" w:color="auto"/>
            </w:tcBorders>
            <w:vAlign w:val="center"/>
          </w:tcPr>
          <w:p w:rsidR="00A06880" w:rsidRDefault="00A06880" w:rsidP="00027D0B">
            <w:pPr>
              <w:jc w:val="center"/>
            </w:pPr>
          </w:p>
        </w:tc>
        <w:tc>
          <w:tcPr>
            <w:tcW w:w="285" w:type="pct"/>
            <w:tcBorders>
              <w:bottom w:val="single" w:sz="4" w:space="0" w:color="auto"/>
            </w:tcBorders>
            <w:vAlign w:val="center"/>
          </w:tcPr>
          <w:p w:rsidR="00A06880" w:rsidRDefault="00A06880" w:rsidP="00027D0B">
            <w:pPr>
              <w:jc w:val="center"/>
            </w:pPr>
          </w:p>
        </w:tc>
        <w:tc>
          <w:tcPr>
            <w:tcW w:w="285" w:type="pct"/>
            <w:tcBorders>
              <w:bottom w:val="single" w:sz="4" w:space="0" w:color="auto"/>
            </w:tcBorders>
            <w:vAlign w:val="center"/>
          </w:tcPr>
          <w:p w:rsidR="00A06880" w:rsidRDefault="00A06880" w:rsidP="00027D0B">
            <w:pPr>
              <w:jc w:val="center"/>
            </w:pPr>
          </w:p>
        </w:tc>
        <w:tc>
          <w:tcPr>
            <w:tcW w:w="251" w:type="pct"/>
            <w:tcBorders>
              <w:bottom w:val="single" w:sz="4" w:space="0" w:color="auto"/>
            </w:tcBorders>
            <w:vAlign w:val="center"/>
          </w:tcPr>
          <w:p w:rsidR="00A06880" w:rsidRDefault="00A06880" w:rsidP="00027D0B">
            <w:pPr>
              <w:jc w:val="center"/>
            </w:pPr>
          </w:p>
        </w:tc>
        <w:tc>
          <w:tcPr>
            <w:tcW w:w="285" w:type="pct"/>
            <w:tcBorders>
              <w:bottom w:val="single" w:sz="4" w:space="0" w:color="auto"/>
            </w:tcBorders>
            <w:vAlign w:val="center"/>
          </w:tcPr>
          <w:p w:rsidR="00A06880" w:rsidRDefault="00A06880" w:rsidP="00027D0B">
            <w:pPr>
              <w:jc w:val="center"/>
            </w:pPr>
          </w:p>
        </w:tc>
        <w:tc>
          <w:tcPr>
            <w:tcW w:w="302" w:type="pct"/>
            <w:tcBorders>
              <w:bottom w:val="single" w:sz="4" w:space="0" w:color="auto"/>
            </w:tcBorders>
            <w:vAlign w:val="center"/>
          </w:tcPr>
          <w:p w:rsidR="00A06880" w:rsidRDefault="00A06880" w:rsidP="00027D0B">
            <w:pPr>
              <w:jc w:val="center"/>
            </w:pPr>
          </w:p>
        </w:tc>
        <w:tc>
          <w:tcPr>
            <w:tcW w:w="306" w:type="pct"/>
            <w:tcBorders>
              <w:bottom w:val="single" w:sz="4" w:space="0" w:color="auto"/>
            </w:tcBorders>
            <w:vAlign w:val="center"/>
          </w:tcPr>
          <w:p w:rsidR="00A06880" w:rsidRDefault="00A06880" w:rsidP="00027D0B">
            <w:pPr>
              <w:jc w:val="center"/>
            </w:pPr>
          </w:p>
        </w:tc>
        <w:tc>
          <w:tcPr>
            <w:tcW w:w="336" w:type="pct"/>
            <w:tcBorders>
              <w:bottom w:val="single" w:sz="4" w:space="0" w:color="auto"/>
            </w:tcBorders>
            <w:vAlign w:val="center"/>
          </w:tcPr>
          <w:p w:rsidR="00A06880" w:rsidRDefault="00A06880" w:rsidP="00027D0B">
            <w:pPr>
              <w:jc w:val="center"/>
            </w:pPr>
          </w:p>
        </w:tc>
        <w:tc>
          <w:tcPr>
            <w:tcW w:w="319" w:type="pct"/>
            <w:tcBorders>
              <w:bottom w:val="single" w:sz="4" w:space="0" w:color="auto"/>
            </w:tcBorders>
            <w:vAlign w:val="center"/>
          </w:tcPr>
          <w:p w:rsidR="00A06880" w:rsidRDefault="00A06880" w:rsidP="00027D0B">
            <w:pPr>
              <w:jc w:val="center"/>
            </w:pPr>
          </w:p>
        </w:tc>
        <w:tc>
          <w:tcPr>
            <w:tcW w:w="323" w:type="pct"/>
            <w:tcBorders>
              <w:bottom w:val="single" w:sz="4" w:space="0" w:color="auto"/>
            </w:tcBorders>
            <w:vAlign w:val="center"/>
          </w:tcPr>
          <w:p w:rsidR="00A06880" w:rsidRDefault="00A06880" w:rsidP="00027D0B">
            <w:pPr>
              <w:jc w:val="center"/>
            </w:pPr>
          </w:p>
        </w:tc>
        <w:tc>
          <w:tcPr>
            <w:tcW w:w="323" w:type="pct"/>
            <w:tcBorders>
              <w:bottom w:val="single" w:sz="4" w:space="0" w:color="auto"/>
            </w:tcBorders>
            <w:vAlign w:val="center"/>
          </w:tcPr>
          <w:p w:rsidR="00A06880" w:rsidRDefault="00A06880" w:rsidP="00027D0B">
            <w:pPr>
              <w:jc w:val="center"/>
            </w:pPr>
          </w:p>
        </w:tc>
        <w:tc>
          <w:tcPr>
            <w:tcW w:w="323" w:type="pct"/>
            <w:tcBorders>
              <w:bottom w:val="single" w:sz="4" w:space="0" w:color="auto"/>
            </w:tcBorders>
            <w:vAlign w:val="center"/>
          </w:tcPr>
          <w:p w:rsidR="00A06880" w:rsidRDefault="00A06880" w:rsidP="00027D0B">
            <w:pPr>
              <w:jc w:val="center"/>
            </w:pPr>
          </w:p>
        </w:tc>
        <w:tc>
          <w:tcPr>
            <w:tcW w:w="285" w:type="pct"/>
            <w:tcBorders>
              <w:bottom w:val="single" w:sz="4" w:space="0" w:color="auto"/>
            </w:tcBorders>
            <w:vAlign w:val="center"/>
          </w:tcPr>
          <w:p w:rsidR="00A06880" w:rsidRDefault="00A06880" w:rsidP="00027D0B">
            <w:pPr>
              <w:jc w:val="center"/>
            </w:pPr>
          </w:p>
        </w:tc>
        <w:tc>
          <w:tcPr>
            <w:tcW w:w="311" w:type="pct"/>
            <w:tcBorders>
              <w:bottom w:val="single" w:sz="4" w:space="0" w:color="auto"/>
            </w:tcBorders>
            <w:vAlign w:val="center"/>
          </w:tcPr>
          <w:p w:rsidR="00A06880" w:rsidRDefault="00A06880" w:rsidP="00027D0B">
            <w:pPr>
              <w:jc w:val="center"/>
            </w:pPr>
          </w:p>
        </w:tc>
      </w:tr>
      <w:tr w:rsidR="00A06880" w:rsidTr="00A06880">
        <w:tc>
          <w:tcPr>
            <w:tcW w:w="5000" w:type="pct"/>
            <w:gridSpan w:val="16"/>
            <w:shd w:val="pct40" w:color="auto" w:fill="auto"/>
            <w:vAlign w:val="center"/>
          </w:tcPr>
          <w:p w:rsidR="00A06880" w:rsidRDefault="00A06880" w:rsidP="00027D0B">
            <w:pPr>
              <w:jc w:val="center"/>
            </w:pPr>
          </w:p>
        </w:tc>
      </w:tr>
    </w:tbl>
    <w:p w:rsidR="00A06880" w:rsidRDefault="00A06880" w:rsidP="00A06880"/>
    <w:p w:rsidR="00653FCB" w:rsidRPr="00F75A0E" w:rsidRDefault="00653FCB" w:rsidP="00F75A0E">
      <w:pPr>
        <w:pStyle w:val="NoSpacing"/>
        <w:spacing w:after="120"/>
        <w:ind w:left="144"/>
        <w:rPr>
          <w:color w:val="000000"/>
          <w:sz w:val="24"/>
        </w:rPr>
      </w:pPr>
    </w:p>
    <w:sectPr w:rsidR="00653FCB" w:rsidRPr="00F75A0E" w:rsidSect="00A0688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D0" w:rsidRDefault="00D317D0">
      <w:r>
        <w:separator/>
      </w:r>
    </w:p>
  </w:endnote>
  <w:endnote w:type="continuationSeparator" w:id="0">
    <w:p w:rsidR="00D317D0" w:rsidRDefault="00D3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rifa-Lig">
    <w:altName w:val="Times New Roman"/>
    <w:charset w:val="00"/>
    <w:family w:val="auto"/>
    <w:pitch w:val="default"/>
  </w:font>
  <w:font w:name="Weiss">
    <w:altName w:val="Weiss"/>
    <w:panose1 w:val="00000000000000000000"/>
    <w:charset w:val="00"/>
    <w:family w:val="roman"/>
    <w:notTrueType/>
    <w:pitch w:val="default"/>
    <w:sig w:usb0="00000003" w:usb1="00000000" w:usb2="00000000" w:usb3="00000000" w:csb0="00000001"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55">
    <w:altName w:val="Univers 55"/>
    <w:panose1 w:val="00000000000000000000"/>
    <w:charset w:val="00"/>
    <w:family w:val="swiss"/>
    <w:notTrueType/>
    <w:pitch w:val="default"/>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Neutra Display Medium">
    <w:altName w:val="Neutra Display Medium"/>
    <w:panose1 w:val="00000000000000000000"/>
    <w:charset w:val="00"/>
    <w:family w:val="swiss"/>
    <w:notTrueType/>
    <w:pitch w:val="default"/>
    <w:sig w:usb0="00000003" w:usb1="00000000" w:usb2="00000000" w:usb3="00000000" w:csb0="00000001" w:csb1="00000000"/>
  </w:font>
  <w:font w:name="Neutra Text Book">
    <w:altName w:val="Neutra Text Book"/>
    <w:panose1 w:val="00000000000000000000"/>
    <w:charset w:val="00"/>
    <w:family w:val="swiss"/>
    <w:notTrueType/>
    <w:pitch w:val="default"/>
    <w:sig w:usb0="00000003" w:usb1="00000000" w:usb2="00000000" w:usb3="00000000" w:csb0="00000001" w:csb1="00000000"/>
  </w:font>
  <w:font w:name="UniversLTStd-Light">
    <w:altName w:val="MS Gothic"/>
    <w:panose1 w:val="00000000000000000000"/>
    <w:charset w:val="80"/>
    <w:family w:val="swiss"/>
    <w:notTrueType/>
    <w:pitch w:val="default"/>
    <w:sig w:usb0="00000000"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Neutra Text Demi Italic">
    <w:altName w:val="Neutra Text Demi 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D0" w:rsidRDefault="00D317D0">
      <w:r>
        <w:separator/>
      </w:r>
    </w:p>
  </w:footnote>
  <w:footnote w:type="continuationSeparator" w:id="0">
    <w:p w:rsidR="00D317D0" w:rsidRDefault="00D31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348"/>
    </w:tblGrid>
    <w:tr w:rsidR="00D317D0" w:rsidTr="006E09E9">
      <w:tc>
        <w:tcPr>
          <w:tcW w:w="6228" w:type="dxa"/>
        </w:tcPr>
        <w:p w:rsidR="00D317D0" w:rsidRPr="00106263" w:rsidRDefault="00D317D0" w:rsidP="006E09E9">
          <w:pPr>
            <w:pStyle w:val="Header"/>
            <w:tabs>
              <w:tab w:val="clear" w:pos="8640"/>
              <w:tab w:val="right" w:pos="9360"/>
            </w:tabs>
            <w:rPr>
              <w:sz w:val="24"/>
            </w:rPr>
          </w:pPr>
          <w:r w:rsidRPr="00106263">
            <w:rPr>
              <w:sz w:val="24"/>
            </w:rPr>
            <w:t>Colorado Commission on Higher Education</w:t>
          </w:r>
          <w:r w:rsidRPr="00106263">
            <w:rPr>
              <w:sz w:val="24"/>
            </w:rPr>
            <w:tab/>
            <w:t xml:space="preserve"> (CCHE)</w:t>
          </w:r>
        </w:p>
        <w:p w:rsidR="00D317D0" w:rsidRPr="00106263" w:rsidRDefault="00D317D0" w:rsidP="00D006F9">
          <w:pPr>
            <w:pStyle w:val="Header"/>
            <w:tabs>
              <w:tab w:val="clear" w:pos="8640"/>
              <w:tab w:val="right" w:pos="9360"/>
            </w:tabs>
            <w:rPr>
              <w:sz w:val="24"/>
            </w:rPr>
          </w:pPr>
          <w:r>
            <w:rPr>
              <w:sz w:val="24"/>
            </w:rPr>
            <w:t>May 8, 2015</w:t>
          </w:r>
        </w:p>
      </w:tc>
      <w:tc>
        <w:tcPr>
          <w:tcW w:w="3348" w:type="dxa"/>
        </w:tcPr>
        <w:p w:rsidR="00D317D0" w:rsidRPr="00106263" w:rsidRDefault="00D317D0" w:rsidP="006E09E9">
          <w:pPr>
            <w:pStyle w:val="Header"/>
            <w:tabs>
              <w:tab w:val="clear" w:pos="8640"/>
              <w:tab w:val="right" w:pos="9360"/>
            </w:tabs>
            <w:jc w:val="right"/>
            <w:rPr>
              <w:sz w:val="24"/>
            </w:rPr>
          </w:pPr>
          <w:r w:rsidRPr="00106263">
            <w:rPr>
              <w:sz w:val="24"/>
            </w:rPr>
            <w:t xml:space="preserve">Agenda </w:t>
          </w:r>
          <w:r>
            <w:rPr>
              <w:sz w:val="24"/>
            </w:rPr>
            <w:t xml:space="preserve">Item V, A </w:t>
          </w:r>
        </w:p>
        <w:p w:rsidR="00D317D0" w:rsidRPr="00106263" w:rsidRDefault="00D317D0" w:rsidP="006E09E9">
          <w:pPr>
            <w:pStyle w:val="Header"/>
            <w:tabs>
              <w:tab w:val="clear" w:pos="8640"/>
              <w:tab w:val="right" w:pos="9360"/>
            </w:tabs>
            <w:jc w:val="right"/>
            <w:rPr>
              <w:rStyle w:val="PageNumber"/>
              <w:sz w:val="24"/>
            </w:rPr>
          </w:pPr>
          <w:r w:rsidRPr="00106263">
            <w:rPr>
              <w:rStyle w:val="PageNumber"/>
              <w:sz w:val="24"/>
            </w:rPr>
            <w:t xml:space="preserve">Page </w:t>
          </w:r>
          <w:r w:rsidRPr="00106263">
            <w:rPr>
              <w:rStyle w:val="PageNumber"/>
              <w:sz w:val="24"/>
            </w:rPr>
            <w:fldChar w:fldCharType="begin"/>
          </w:r>
          <w:r w:rsidRPr="00106263">
            <w:rPr>
              <w:rStyle w:val="PageNumber"/>
              <w:sz w:val="24"/>
            </w:rPr>
            <w:instrText xml:space="preserve"> PAGE </w:instrText>
          </w:r>
          <w:r w:rsidRPr="00106263">
            <w:rPr>
              <w:rStyle w:val="PageNumber"/>
              <w:sz w:val="24"/>
            </w:rPr>
            <w:fldChar w:fldCharType="separate"/>
          </w:r>
          <w:r w:rsidR="00244DB6">
            <w:rPr>
              <w:rStyle w:val="PageNumber"/>
              <w:noProof/>
              <w:sz w:val="24"/>
            </w:rPr>
            <w:t>1</w:t>
          </w:r>
          <w:r w:rsidRPr="00106263">
            <w:rPr>
              <w:rStyle w:val="PageNumber"/>
              <w:sz w:val="24"/>
            </w:rPr>
            <w:fldChar w:fldCharType="end"/>
          </w:r>
          <w:r w:rsidRPr="00106263">
            <w:rPr>
              <w:rStyle w:val="PageNumber"/>
              <w:sz w:val="24"/>
            </w:rPr>
            <w:t xml:space="preserve"> of </w:t>
          </w:r>
          <w:r w:rsidRPr="00106263">
            <w:rPr>
              <w:rStyle w:val="PageNumber"/>
              <w:sz w:val="24"/>
            </w:rPr>
            <w:fldChar w:fldCharType="begin"/>
          </w:r>
          <w:r w:rsidRPr="00106263">
            <w:rPr>
              <w:rStyle w:val="PageNumber"/>
              <w:sz w:val="24"/>
            </w:rPr>
            <w:instrText xml:space="preserve"> NUMPAGES </w:instrText>
          </w:r>
          <w:r w:rsidRPr="00106263">
            <w:rPr>
              <w:rStyle w:val="PageNumber"/>
              <w:sz w:val="24"/>
            </w:rPr>
            <w:fldChar w:fldCharType="separate"/>
          </w:r>
          <w:r w:rsidR="00244DB6">
            <w:rPr>
              <w:rStyle w:val="PageNumber"/>
              <w:noProof/>
              <w:sz w:val="24"/>
            </w:rPr>
            <w:t>37</w:t>
          </w:r>
          <w:r w:rsidRPr="00106263">
            <w:rPr>
              <w:rStyle w:val="PageNumber"/>
              <w:sz w:val="24"/>
            </w:rPr>
            <w:fldChar w:fldCharType="end"/>
          </w:r>
        </w:p>
        <w:p w:rsidR="00D317D0" w:rsidRPr="00106263" w:rsidRDefault="00D317D0" w:rsidP="006E09E9">
          <w:pPr>
            <w:pStyle w:val="Header"/>
            <w:tabs>
              <w:tab w:val="clear" w:pos="8640"/>
              <w:tab w:val="right" w:pos="9360"/>
            </w:tabs>
            <w:jc w:val="right"/>
            <w:rPr>
              <w:sz w:val="24"/>
            </w:rPr>
          </w:pPr>
          <w:r>
            <w:rPr>
              <w:rStyle w:val="PageNumber"/>
              <w:sz w:val="24"/>
              <w:u w:val="single"/>
            </w:rPr>
            <w:t>Action</w:t>
          </w:r>
          <w:r w:rsidRPr="00106263">
            <w:rPr>
              <w:rStyle w:val="PageNumber"/>
              <w:sz w:val="24"/>
              <w:u w:val="single"/>
            </w:rPr>
            <w:t xml:space="preserve"> Item</w:t>
          </w:r>
        </w:p>
      </w:tc>
    </w:tr>
  </w:tbl>
  <w:p w:rsidR="00D317D0" w:rsidRPr="006E09E9" w:rsidRDefault="00D317D0" w:rsidP="006E09E9">
    <w:pPr>
      <w:pStyle w:val="Header"/>
      <w:tabs>
        <w:tab w:val="clear" w:pos="8640"/>
        <w:tab w:val="right" w:pos="9360"/>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23E"/>
    <w:multiLevelType w:val="hybridMultilevel"/>
    <w:tmpl w:val="ED5EB44A"/>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695297D"/>
    <w:multiLevelType w:val="hybridMultilevel"/>
    <w:tmpl w:val="F9E2F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C25E5"/>
    <w:multiLevelType w:val="hybridMultilevel"/>
    <w:tmpl w:val="F232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C67516"/>
    <w:multiLevelType w:val="hybridMultilevel"/>
    <w:tmpl w:val="6108E7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1C2A32"/>
    <w:multiLevelType w:val="hybridMultilevel"/>
    <w:tmpl w:val="AF94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B453D"/>
    <w:multiLevelType w:val="hybridMultilevel"/>
    <w:tmpl w:val="FD02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F35C8"/>
    <w:multiLevelType w:val="hybridMultilevel"/>
    <w:tmpl w:val="DC6A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D4C02"/>
    <w:multiLevelType w:val="hybridMultilevel"/>
    <w:tmpl w:val="40601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32E59B1"/>
    <w:multiLevelType w:val="hybridMultilevel"/>
    <w:tmpl w:val="31669FF4"/>
    <w:lvl w:ilvl="0" w:tplc="DA5C9CCE">
      <w:start w:val="1"/>
      <w:numFmt w:val="bullet"/>
      <w:lvlText w:val="•"/>
      <w:lvlJc w:val="left"/>
      <w:pPr>
        <w:tabs>
          <w:tab w:val="num" w:pos="720"/>
        </w:tabs>
        <w:ind w:left="720" w:hanging="360"/>
      </w:pPr>
      <w:rPr>
        <w:rFonts w:ascii="Arial" w:hAnsi="Arial" w:hint="default"/>
      </w:rPr>
    </w:lvl>
    <w:lvl w:ilvl="1" w:tplc="2CA2881A" w:tentative="1">
      <w:start w:val="1"/>
      <w:numFmt w:val="bullet"/>
      <w:lvlText w:val="•"/>
      <w:lvlJc w:val="left"/>
      <w:pPr>
        <w:tabs>
          <w:tab w:val="num" w:pos="1440"/>
        </w:tabs>
        <w:ind w:left="1440" w:hanging="360"/>
      </w:pPr>
      <w:rPr>
        <w:rFonts w:ascii="Arial" w:hAnsi="Arial" w:hint="default"/>
      </w:rPr>
    </w:lvl>
    <w:lvl w:ilvl="2" w:tplc="CAA0003C" w:tentative="1">
      <w:start w:val="1"/>
      <w:numFmt w:val="bullet"/>
      <w:lvlText w:val="•"/>
      <w:lvlJc w:val="left"/>
      <w:pPr>
        <w:tabs>
          <w:tab w:val="num" w:pos="2160"/>
        </w:tabs>
        <w:ind w:left="2160" w:hanging="360"/>
      </w:pPr>
      <w:rPr>
        <w:rFonts w:ascii="Arial" w:hAnsi="Arial" w:hint="default"/>
      </w:rPr>
    </w:lvl>
    <w:lvl w:ilvl="3" w:tplc="4996963E" w:tentative="1">
      <w:start w:val="1"/>
      <w:numFmt w:val="bullet"/>
      <w:lvlText w:val="•"/>
      <w:lvlJc w:val="left"/>
      <w:pPr>
        <w:tabs>
          <w:tab w:val="num" w:pos="2880"/>
        </w:tabs>
        <w:ind w:left="2880" w:hanging="360"/>
      </w:pPr>
      <w:rPr>
        <w:rFonts w:ascii="Arial" w:hAnsi="Arial" w:hint="default"/>
      </w:rPr>
    </w:lvl>
    <w:lvl w:ilvl="4" w:tplc="51246062" w:tentative="1">
      <w:start w:val="1"/>
      <w:numFmt w:val="bullet"/>
      <w:lvlText w:val="•"/>
      <w:lvlJc w:val="left"/>
      <w:pPr>
        <w:tabs>
          <w:tab w:val="num" w:pos="3600"/>
        </w:tabs>
        <w:ind w:left="3600" w:hanging="360"/>
      </w:pPr>
      <w:rPr>
        <w:rFonts w:ascii="Arial" w:hAnsi="Arial" w:hint="default"/>
      </w:rPr>
    </w:lvl>
    <w:lvl w:ilvl="5" w:tplc="E59E9D42" w:tentative="1">
      <w:start w:val="1"/>
      <w:numFmt w:val="bullet"/>
      <w:lvlText w:val="•"/>
      <w:lvlJc w:val="left"/>
      <w:pPr>
        <w:tabs>
          <w:tab w:val="num" w:pos="4320"/>
        </w:tabs>
        <w:ind w:left="4320" w:hanging="360"/>
      </w:pPr>
      <w:rPr>
        <w:rFonts w:ascii="Arial" w:hAnsi="Arial" w:hint="default"/>
      </w:rPr>
    </w:lvl>
    <w:lvl w:ilvl="6" w:tplc="8A4CFE54" w:tentative="1">
      <w:start w:val="1"/>
      <w:numFmt w:val="bullet"/>
      <w:lvlText w:val="•"/>
      <w:lvlJc w:val="left"/>
      <w:pPr>
        <w:tabs>
          <w:tab w:val="num" w:pos="5040"/>
        </w:tabs>
        <w:ind w:left="5040" w:hanging="360"/>
      </w:pPr>
      <w:rPr>
        <w:rFonts w:ascii="Arial" w:hAnsi="Arial" w:hint="default"/>
      </w:rPr>
    </w:lvl>
    <w:lvl w:ilvl="7" w:tplc="7398EA3A" w:tentative="1">
      <w:start w:val="1"/>
      <w:numFmt w:val="bullet"/>
      <w:lvlText w:val="•"/>
      <w:lvlJc w:val="left"/>
      <w:pPr>
        <w:tabs>
          <w:tab w:val="num" w:pos="5760"/>
        </w:tabs>
        <w:ind w:left="5760" w:hanging="360"/>
      </w:pPr>
      <w:rPr>
        <w:rFonts w:ascii="Arial" w:hAnsi="Arial" w:hint="default"/>
      </w:rPr>
    </w:lvl>
    <w:lvl w:ilvl="8" w:tplc="6DEC9430" w:tentative="1">
      <w:start w:val="1"/>
      <w:numFmt w:val="bullet"/>
      <w:lvlText w:val="•"/>
      <w:lvlJc w:val="left"/>
      <w:pPr>
        <w:tabs>
          <w:tab w:val="num" w:pos="6480"/>
        </w:tabs>
        <w:ind w:left="6480" w:hanging="360"/>
      </w:pPr>
      <w:rPr>
        <w:rFonts w:ascii="Arial" w:hAnsi="Arial" w:hint="default"/>
      </w:rPr>
    </w:lvl>
  </w:abstractNum>
  <w:abstractNum w:abstractNumId="10">
    <w:nsid w:val="29AC6945"/>
    <w:multiLevelType w:val="hybridMultilevel"/>
    <w:tmpl w:val="9E1E5808"/>
    <w:lvl w:ilvl="0" w:tplc="B8261A36">
      <w:start w:val="1"/>
      <w:numFmt w:val="bullet"/>
      <w:lvlText w:val="o"/>
      <w:lvlJc w:val="left"/>
      <w:pPr>
        <w:tabs>
          <w:tab w:val="num" w:pos="720"/>
        </w:tabs>
        <w:ind w:left="720" w:hanging="360"/>
      </w:pPr>
      <w:rPr>
        <w:rFonts w:ascii="Courier New" w:hAnsi="Courier New" w:hint="default"/>
      </w:rPr>
    </w:lvl>
    <w:lvl w:ilvl="1" w:tplc="E2965492" w:tentative="1">
      <w:start w:val="1"/>
      <w:numFmt w:val="bullet"/>
      <w:lvlText w:val="o"/>
      <w:lvlJc w:val="left"/>
      <w:pPr>
        <w:tabs>
          <w:tab w:val="num" w:pos="1440"/>
        </w:tabs>
        <w:ind w:left="1440" w:hanging="360"/>
      </w:pPr>
      <w:rPr>
        <w:rFonts w:ascii="Courier New" w:hAnsi="Courier New" w:hint="default"/>
      </w:rPr>
    </w:lvl>
    <w:lvl w:ilvl="2" w:tplc="D5F80CE0" w:tentative="1">
      <w:start w:val="1"/>
      <w:numFmt w:val="bullet"/>
      <w:lvlText w:val="o"/>
      <w:lvlJc w:val="left"/>
      <w:pPr>
        <w:tabs>
          <w:tab w:val="num" w:pos="2160"/>
        </w:tabs>
        <w:ind w:left="2160" w:hanging="360"/>
      </w:pPr>
      <w:rPr>
        <w:rFonts w:ascii="Courier New" w:hAnsi="Courier New" w:hint="default"/>
      </w:rPr>
    </w:lvl>
    <w:lvl w:ilvl="3" w:tplc="3030E9A0" w:tentative="1">
      <w:start w:val="1"/>
      <w:numFmt w:val="bullet"/>
      <w:lvlText w:val="o"/>
      <w:lvlJc w:val="left"/>
      <w:pPr>
        <w:tabs>
          <w:tab w:val="num" w:pos="2880"/>
        </w:tabs>
        <w:ind w:left="2880" w:hanging="360"/>
      </w:pPr>
      <w:rPr>
        <w:rFonts w:ascii="Courier New" w:hAnsi="Courier New" w:hint="default"/>
      </w:rPr>
    </w:lvl>
    <w:lvl w:ilvl="4" w:tplc="49300F12" w:tentative="1">
      <w:start w:val="1"/>
      <w:numFmt w:val="bullet"/>
      <w:lvlText w:val="o"/>
      <w:lvlJc w:val="left"/>
      <w:pPr>
        <w:tabs>
          <w:tab w:val="num" w:pos="3600"/>
        </w:tabs>
        <w:ind w:left="3600" w:hanging="360"/>
      </w:pPr>
      <w:rPr>
        <w:rFonts w:ascii="Courier New" w:hAnsi="Courier New" w:hint="default"/>
      </w:rPr>
    </w:lvl>
    <w:lvl w:ilvl="5" w:tplc="6636B9BE" w:tentative="1">
      <w:start w:val="1"/>
      <w:numFmt w:val="bullet"/>
      <w:lvlText w:val="o"/>
      <w:lvlJc w:val="left"/>
      <w:pPr>
        <w:tabs>
          <w:tab w:val="num" w:pos="4320"/>
        </w:tabs>
        <w:ind w:left="4320" w:hanging="360"/>
      </w:pPr>
      <w:rPr>
        <w:rFonts w:ascii="Courier New" w:hAnsi="Courier New" w:hint="default"/>
      </w:rPr>
    </w:lvl>
    <w:lvl w:ilvl="6" w:tplc="5EF2EC70" w:tentative="1">
      <w:start w:val="1"/>
      <w:numFmt w:val="bullet"/>
      <w:lvlText w:val="o"/>
      <w:lvlJc w:val="left"/>
      <w:pPr>
        <w:tabs>
          <w:tab w:val="num" w:pos="5040"/>
        </w:tabs>
        <w:ind w:left="5040" w:hanging="360"/>
      </w:pPr>
      <w:rPr>
        <w:rFonts w:ascii="Courier New" w:hAnsi="Courier New" w:hint="default"/>
      </w:rPr>
    </w:lvl>
    <w:lvl w:ilvl="7" w:tplc="391650D6" w:tentative="1">
      <w:start w:val="1"/>
      <w:numFmt w:val="bullet"/>
      <w:lvlText w:val="o"/>
      <w:lvlJc w:val="left"/>
      <w:pPr>
        <w:tabs>
          <w:tab w:val="num" w:pos="5760"/>
        </w:tabs>
        <w:ind w:left="5760" w:hanging="360"/>
      </w:pPr>
      <w:rPr>
        <w:rFonts w:ascii="Courier New" w:hAnsi="Courier New" w:hint="default"/>
      </w:rPr>
    </w:lvl>
    <w:lvl w:ilvl="8" w:tplc="7BC80F9C" w:tentative="1">
      <w:start w:val="1"/>
      <w:numFmt w:val="bullet"/>
      <w:lvlText w:val="o"/>
      <w:lvlJc w:val="left"/>
      <w:pPr>
        <w:tabs>
          <w:tab w:val="num" w:pos="6480"/>
        </w:tabs>
        <w:ind w:left="6480" w:hanging="360"/>
      </w:pPr>
      <w:rPr>
        <w:rFonts w:ascii="Courier New" w:hAnsi="Courier New" w:hint="default"/>
      </w:rPr>
    </w:lvl>
  </w:abstractNum>
  <w:abstractNum w:abstractNumId="11">
    <w:nsid w:val="2A1640CD"/>
    <w:multiLevelType w:val="hybridMultilevel"/>
    <w:tmpl w:val="6DF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75710"/>
    <w:multiLevelType w:val="hybridMultilevel"/>
    <w:tmpl w:val="5E4A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56D88"/>
    <w:multiLevelType w:val="hybridMultilevel"/>
    <w:tmpl w:val="9C2A8E8C"/>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nsid w:val="32C85F0F"/>
    <w:multiLevelType w:val="hybridMultilevel"/>
    <w:tmpl w:val="1312F2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505292"/>
    <w:multiLevelType w:val="hybridMultilevel"/>
    <w:tmpl w:val="092E7B00"/>
    <w:lvl w:ilvl="0" w:tplc="04090017">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6">
    <w:nsid w:val="34DA3CCD"/>
    <w:multiLevelType w:val="hybridMultilevel"/>
    <w:tmpl w:val="7B726604"/>
    <w:lvl w:ilvl="0" w:tplc="3F589CE0">
      <w:start w:val="1"/>
      <w:numFmt w:val="bullet"/>
      <w:lvlText w:val="•"/>
      <w:lvlJc w:val="left"/>
      <w:pPr>
        <w:tabs>
          <w:tab w:val="num" w:pos="720"/>
        </w:tabs>
        <w:ind w:left="720" w:hanging="360"/>
      </w:pPr>
      <w:rPr>
        <w:rFonts w:ascii="Arial" w:hAnsi="Arial" w:hint="default"/>
      </w:rPr>
    </w:lvl>
    <w:lvl w:ilvl="1" w:tplc="BBE85176">
      <w:numFmt w:val="bullet"/>
      <w:lvlText w:val="–"/>
      <w:lvlJc w:val="left"/>
      <w:pPr>
        <w:tabs>
          <w:tab w:val="num" w:pos="1440"/>
        </w:tabs>
        <w:ind w:left="1440" w:hanging="360"/>
      </w:pPr>
      <w:rPr>
        <w:rFonts w:ascii="Arial" w:hAnsi="Arial" w:hint="default"/>
      </w:rPr>
    </w:lvl>
    <w:lvl w:ilvl="2" w:tplc="90CA3434" w:tentative="1">
      <w:start w:val="1"/>
      <w:numFmt w:val="bullet"/>
      <w:lvlText w:val="•"/>
      <w:lvlJc w:val="left"/>
      <w:pPr>
        <w:tabs>
          <w:tab w:val="num" w:pos="2160"/>
        </w:tabs>
        <w:ind w:left="2160" w:hanging="360"/>
      </w:pPr>
      <w:rPr>
        <w:rFonts w:ascii="Arial" w:hAnsi="Arial" w:hint="default"/>
      </w:rPr>
    </w:lvl>
    <w:lvl w:ilvl="3" w:tplc="0D9089DA" w:tentative="1">
      <w:start w:val="1"/>
      <w:numFmt w:val="bullet"/>
      <w:lvlText w:val="•"/>
      <w:lvlJc w:val="left"/>
      <w:pPr>
        <w:tabs>
          <w:tab w:val="num" w:pos="2880"/>
        </w:tabs>
        <w:ind w:left="2880" w:hanging="360"/>
      </w:pPr>
      <w:rPr>
        <w:rFonts w:ascii="Arial" w:hAnsi="Arial" w:hint="default"/>
      </w:rPr>
    </w:lvl>
    <w:lvl w:ilvl="4" w:tplc="FC8AFC6E" w:tentative="1">
      <w:start w:val="1"/>
      <w:numFmt w:val="bullet"/>
      <w:lvlText w:val="•"/>
      <w:lvlJc w:val="left"/>
      <w:pPr>
        <w:tabs>
          <w:tab w:val="num" w:pos="3600"/>
        </w:tabs>
        <w:ind w:left="3600" w:hanging="360"/>
      </w:pPr>
      <w:rPr>
        <w:rFonts w:ascii="Arial" w:hAnsi="Arial" w:hint="default"/>
      </w:rPr>
    </w:lvl>
    <w:lvl w:ilvl="5" w:tplc="C03AE668" w:tentative="1">
      <w:start w:val="1"/>
      <w:numFmt w:val="bullet"/>
      <w:lvlText w:val="•"/>
      <w:lvlJc w:val="left"/>
      <w:pPr>
        <w:tabs>
          <w:tab w:val="num" w:pos="4320"/>
        </w:tabs>
        <w:ind w:left="4320" w:hanging="360"/>
      </w:pPr>
      <w:rPr>
        <w:rFonts w:ascii="Arial" w:hAnsi="Arial" w:hint="default"/>
      </w:rPr>
    </w:lvl>
    <w:lvl w:ilvl="6" w:tplc="C3F2C5AE" w:tentative="1">
      <w:start w:val="1"/>
      <w:numFmt w:val="bullet"/>
      <w:lvlText w:val="•"/>
      <w:lvlJc w:val="left"/>
      <w:pPr>
        <w:tabs>
          <w:tab w:val="num" w:pos="5040"/>
        </w:tabs>
        <w:ind w:left="5040" w:hanging="360"/>
      </w:pPr>
      <w:rPr>
        <w:rFonts w:ascii="Arial" w:hAnsi="Arial" w:hint="default"/>
      </w:rPr>
    </w:lvl>
    <w:lvl w:ilvl="7" w:tplc="272640A6" w:tentative="1">
      <w:start w:val="1"/>
      <w:numFmt w:val="bullet"/>
      <w:lvlText w:val="•"/>
      <w:lvlJc w:val="left"/>
      <w:pPr>
        <w:tabs>
          <w:tab w:val="num" w:pos="5760"/>
        </w:tabs>
        <w:ind w:left="5760" w:hanging="360"/>
      </w:pPr>
      <w:rPr>
        <w:rFonts w:ascii="Arial" w:hAnsi="Arial" w:hint="default"/>
      </w:rPr>
    </w:lvl>
    <w:lvl w:ilvl="8" w:tplc="A6905A2A" w:tentative="1">
      <w:start w:val="1"/>
      <w:numFmt w:val="bullet"/>
      <w:lvlText w:val="•"/>
      <w:lvlJc w:val="left"/>
      <w:pPr>
        <w:tabs>
          <w:tab w:val="num" w:pos="6480"/>
        </w:tabs>
        <w:ind w:left="6480" w:hanging="360"/>
      </w:pPr>
      <w:rPr>
        <w:rFonts w:ascii="Arial" w:hAnsi="Arial" w:hint="default"/>
      </w:rPr>
    </w:lvl>
  </w:abstractNum>
  <w:abstractNum w:abstractNumId="17">
    <w:nsid w:val="374B7433"/>
    <w:multiLevelType w:val="hybridMultilevel"/>
    <w:tmpl w:val="2676BF44"/>
    <w:lvl w:ilvl="0" w:tplc="2D188102">
      <w:start w:val="1"/>
      <w:numFmt w:val="bullet"/>
      <w:lvlText w:val="–"/>
      <w:lvlJc w:val="left"/>
      <w:pPr>
        <w:tabs>
          <w:tab w:val="num" w:pos="720"/>
        </w:tabs>
        <w:ind w:left="720" w:hanging="360"/>
      </w:pPr>
      <w:rPr>
        <w:rFonts w:ascii="Arial" w:hAnsi="Arial" w:hint="default"/>
      </w:rPr>
    </w:lvl>
    <w:lvl w:ilvl="1" w:tplc="B0EA89AA">
      <w:start w:val="1"/>
      <w:numFmt w:val="bullet"/>
      <w:lvlText w:val="–"/>
      <w:lvlJc w:val="left"/>
      <w:pPr>
        <w:tabs>
          <w:tab w:val="num" w:pos="1440"/>
        </w:tabs>
        <w:ind w:left="1440" w:hanging="360"/>
      </w:pPr>
      <w:rPr>
        <w:rFonts w:ascii="Arial" w:hAnsi="Arial" w:hint="default"/>
      </w:rPr>
    </w:lvl>
    <w:lvl w:ilvl="2" w:tplc="E9DE8A3E" w:tentative="1">
      <w:start w:val="1"/>
      <w:numFmt w:val="bullet"/>
      <w:lvlText w:val="–"/>
      <w:lvlJc w:val="left"/>
      <w:pPr>
        <w:tabs>
          <w:tab w:val="num" w:pos="2160"/>
        </w:tabs>
        <w:ind w:left="2160" w:hanging="360"/>
      </w:pPr>
      <w:rPr>
        <w:rFonts w:ascii="Arial" w:hAnsi="Arial" w:hint="default"/>
      </w:rPr>
    </w:lvl>
    <w:lvl w:ilvl="3" w:tplc="D17299C4" w:tentative="1">
      <w:start w:val="1"/>
      <w:numFmt w:val="bullet"/>
      <w:lvlText w:val="–"/>
      <w:lvlJc w:val="left"/>
      <w:pPr>
        <w:tabs>
          <w:tab w:val="num" w:pos="2880"/>
        </w:tabs>
        <w:ind w:left="2880" w:hanging="360"/>
      </w:pPr>
      <w:rPr>
        <w:rFonts w:ascii="Arial" w:hAnsi="Arial" w:hint="default"/>
      </w:rPr>
    </w:lvl>
    <w:lvl w:ilvl="4" w:tplc="668A3A96" w:tentative="1">
      <w:start w:val="1"/>
      <w:numFmt w:val="bullet"/>
      <w:lvlText w:val="–"/>
      <w:lvlJc w:val="left"/>
      <w:pPr>
        <w:tabs>
          <w:tab w:val="num" w:pos="3600"/>
        </w:tabs>
        <w:ind w:left="3600" w:hanging="360"/>
      </w:pPr>
      <w:rPr>
        <w:rFonts w:ascii="Arial" w:hAnsi="Arial" w:hint="default"/>
      </w:rPr>
    </w:lvl>
    <w:lvl w:ilvl="5" w:tplc="EDA6BB88" w:tentative="1">
      <w:start w:val="1"/>
      <w:numFmt w:val="bullet"/>
      <w:lvlText w:val="–"/>
      <w:lvlJc w:val="left"/>
      <w:pPr>
        <w:tabs>
          <w:tab w:val="num" w:pos="4320"/>
        </w:tabs>
        <w:ind w:left="4320" w:hanging="360"/>
      </w:pPr>
      <w:rPr>
        <w:rFonts w:ascii="Arial" w:hAnsi="Arial" w:hint="default"/>
      </w:rPr>
    </w:lvl>
    <w:lvl w:ilvl="6" w:tplc="E66EA9C6" w:tentative="1">
      <w:start w:val="1"/>
      <w:numFmt w:val="bullet"/>
      <w:lvlText w:val="–"/>
      <w:lvlJc w:val="left"/>
      <w:pPr>
        <w:tabs>
          <w:tab w:val="num" w:pos="5040"/>
        </w:tabs>
        <w:ind w:left="5040" w:hanging="360"/>
      </w:pPr>
      <w:rPr>
        <w:rFonts w:ascii="Arial" w:hAnsi="Arial" w:hint="default"/>
      </w:rPr>
    </w:lvl>
    <w:lvl w:ilvl="7" w:tplc="91026048" w:tentative="1">
      <w:start w:val="1"/>
      <w:numFmt w:val="bullet"/>
      <w:lvlText w:val="–"/>
      <w:lvlJc w:val="left"/>
      <w:pPr>
        <w:tabs>
          <w:tab w:val="num" w:pos="5760"/>
        </w:tabs>
        <w:ind w:left="5760" w:hanging="360"/>
      </w:pPr>
      <w:rPr>
        <w:rFonts w:ascii="Arial" w:hAnsi="Arial" w:hint="default"/>
      </w:rPr>
    </w:lvl>
    <w:lvl w:ilvl="8" w:tplc="3296151E" w:tentative="1">
      <w:start w:val="1"/>
      <w:numFmt w:val="bullet"/>
      <w:lvlText w:val="–"/>
      <w:lvlJc w:val="left"/>
      <w:pPr>
        <w:tabs>
          <w:tab w:val="num" w:pos="6480"/>
        </w:tabs>
        <w:ind w:left="6480" w:hanging="360"/>
      </w:pPr>
      <w:rPr>
        <w:rFonts w:ascii="Arial" w:hAnsi="Arial" w:hint="default"/>
      </w:rPr>
    </w:lvl>
  </w:abstractNum>
  <w:abstractNum w:abstractNumId="18">
    <w:nsid w:val="38A144CF"/>
    <w:multiLevelType w:val="hybridMultilevel"/>
    <w:tmpl w:val="C40C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50108"/>
    <w:multiLevelType w:val="hybridMultilevel"/>
    <w:tmpl w:val="8CD0A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4F2227"/>
    <w:multiLevelType w:val="hybridMultilevel"/>
    <w:tmpl w:val="E784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32252"/>
    <w:multiLevelType w:val="hybridMultilevel"/>
    <w:tmpl w:val="B082DDF8"/>
    <w:lvl w:ilvl="0" w:tplc="04090017">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2">
    <w:nsid w:val="409843D7"/>
    <w:multiLevelType w:val="hybridMultilevel"/>
    <w:tmpl w:val="A1B89F86"/>
    <w:lvl w:ilvl="0" w:tplc="858A7AC6">
      <w:start w:val="1"/>
      <w:numFmt w:val="bullet"/>
      <w:lvlText w:val="•"/>
      <w:lvlJc w:val="left"/>
      <w:pPr>
        <w:tabs>
          <w:tab w:val="num" w:pos="720"/>
        </w:tabs>
        <w:ind w:left="720" w:hanging="360"/>
      </w:pPr>
      <w:rPr>
        <w:rFonts w:ascii="Arial" w:hAnsi="Arial" w:hint="default"/>
      </w:rPr>
    </w:lvl>
    <w:lvl w:ilvl="1" w:tplc="8B965A78">
      <w:numFmt w:val="bullet"/>
      <w:lvlText w:val="–"/>
      <w:lvlJc w:val="left"/>
      <w:pPr>
        <w:tabs>
          <w:tab w:val="num" w:pos="1440"/>
        </w:tabs>
        <w:ind w:left="1440" w:hanging="360"/>
      </w:pPr>
      <w:rPr>
        <w:rFonts w:ascii="Arial" w:hAnsi="Arial" w:hint="default"/>
      </w:rPr>
    </w:lvl>
    <w:lvl w:ilvl="2" w:tplc="33C67FFA">
      <w:numFmt w:val="bullet"/>
      <w:lvlText w:val="•"/>
      <w:lvlJc w:val="left"/>
      <w:pPr>
        <w:tabs>
          <w:tab w:val="num" w:pos="2160"/>
        </w:tabs>
        <w:ind w:left="2160" w:hanging="360"/>
      </w:pPr>
      <w:rPr>
        <w:rFonts w:ascii="Arial" w:hAnsi="Arial" w:hint="default"/>
      </w:rPr>
    </w:lvl>
    <w:lvl w:ilvl="3" w:tplc="1E24D5F2">
      <w:numFmt w:val="bullet"/>
      <w:lvlText w:val="–"/>
      <w:lvlJc w:val="left"/>
      <w:pPr>
        <w:tabs>
          <w:tab w:val="num" w:pos="2880"/>
        </w:tabs>
        <w:ind w:left="2880" w:hanging="360"/>
      </w:pPr>
      <w:rPr>
        <w:rFonts w:ascii="Arial" w:hAnsi="Arial" w:hint="default"/>
      </w:rPr>
    </w:lvl>
    <w:lvl w:ilvl="4" w:tplc="3474B9BE">
      <w:numFmt w:val="bullet"/>
      <w:lvlText w:val="»"/>
      <w:lvlJc w:val="left"/>
      <w:pPr>
        <w:tabs>
          <w:tab w:val="num" w:pos="3600"/>
        </w:tabs>
        <w:ind w:left="3600" w:hanging="360"/>
      </w:pPr>
      <w:rPr>
        <w:rFonts w:ascii="Arial" w:hAnsi="Arial" w:hint="default"/>
      </w:rPr>
    </w:lvl>
    <w:lvl w:ilvl="5" w:tplc="29EE12D8" w:tentative="1">
      <w:start w:val="1"/>
      <w:numFmt w:val="bullet"/>
      <w:lvlText w:val="•"/>
      <w:lvlJc w:val="left"/>
      <w:pPr>
        <w:tabs>
          <w:tab w:val="num" w:pos="4320"/>
        </w:tabs>
        <w:ind w:left="4320" w:hanging="360"/>
      </w:pPr>
      <w:rPr>
        <w:rFonts w:ascii="Arial" w:hAnsi="Arial" w:hint="default"/>
      </w:rPr>
    </w:lvl>
    <w:lvl w:ilvl="6" w:tplc="56AA1876" w:tentative="1">
      <w:start w:val="1"/>
      <w:numFmt w:val="bullet"/>
      <w:lvlText w:val="•"/>
      <w:lvlJc w:val="left"/>
      <w:pPr>
        <w:tabs>
          <w:tab w:val="num" w:pos="5040"/>
        </w:tabs>
        <w:ind w:left="5040" w:hanging="360"/>
      </w:pPr>
      <w:rPr>
        <w:rFonts w:ascii="Arial" w:hAnsi="Arial" w:hint="default"/>
      </w:rPr>
    </w:lvl>
    <w:lvl w:ilvl="7" w:tplc="BA5ABF7C" w:tentative="1">
      <w:start w:val="1"/>
      <w:numFmt w:val="bullet"/>
      <w:lvlText w:val="•"/>
      <w:lvlJc w:val="left"/>
      <w:pPr>
        <w:tabs>
          <w:tab w:val="num" w:pos="5760"/>
        </w:tabs>
        <w:ind w:left="5760" w:hanging="360"/>
      </w:pPr>
      <w:rPr>
        <w:rFonts w:ascii="Arial" w:hAnsi="Arial" w:hint="default"/>
      </w:rPr>
    </w:lvl>
    <w:lvl w:ilvl="8" w:tplc="A1F2552E" w:tentative="1">
      <w:start w:val="1"/>
      <w:numFmt w:val="bullet"/>
      <w:lvlText w:val="•"/>
      <w:lvlJc w:val="left"/>
      <w:pPr>
        <w:tabs>
          <w:tab w:val="num" w:pos="6480"/>
        </w:tabs>
        <w:ind w:left="6480" w:hanging="360"/>
      </w:pPr>
      <w:rPr>
        <w:rFonts w:ascii="Arial" w:hAnsi="Arial" w:hint="default"/>
      </w:rPr>
    </w:lvl>
  </w:abstractNum>
  <w:abstractNum w:abstractNumId="23">
    <w:nsid w:val="45865627"/>
    <w:multiLevelType w:val="hybridMultilevel"/>
    <w:tmpl w:val="9748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72142"/>
    <w:multiLevelType w:val="hybridMultilevel"/>
    <w:tmpl w:val="4C4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A668DD"/>
    <w:multiLevelType w:val="multilevel"/>
    <w:tmpl w:val="4AC6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C0389F"/>
    <w:multiLevelType w:val="hybridMultilevel"/>
    <w:tmpl w:val="E2240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B87073"/>
    <w:multiLevelType w:val="hybridMultilevel"/>
    <w:tmpl w:val="580672E8"/>
    <w:lvl w:ilvl="0" w:tplc="AFF27902">
      <w:start w:val="1"/>
      <w:numFmt w:val="bullet"/>
      <w:lvlText w:val="–"/>
      <w:lvlJc w:val="left"/>
      <w:pPr>
        <w:tabs>
          <w:tab w:val="num" w:pos="720"/>
        </w:tabs>
        <w:ind w:left="720" w:hanging="360"/>
      </w:pPr>
      <w:rPr>
        <w:rFonts w:ascii="Arial" w:hAnsi="Arial" w:hint="default"/>
      </w:rPr>
    </w:lvl>
    <w:lvl w:ilvl="1" w:tplc="AFF61328">
      <w:start w:val="1"/>
      <w:numFmt w:val="bullet"/>
      <w:lvlText w:val="–"/>
      <w:lvlJc w:val="left"/>
      <w:pPr>
        <w:tabs>
          <w:tab w:val="num" w:pos="1440"/>
        </w:tabs>
        <w:ind w:left="1440" w:hanging="360"/>
      </w:pPr>
      <w:rPr>
        <w:rFonts w:ascii="Arial" w:hAnsi="Arial" w:hint="default"/>
      </w:rPr>
    </w:lvl>
    <w:lvl w:ilvl="2" w:tplc="699C0D3C" w:tentative="1">
      <w:start w:val="1"/>
      <w:numFmt w:val="bullet"/>
      <w:lvlText w:val="–"/>
      <w:lvlJc w:val="left"/>
      <w:pPr>
        <w:tabs>
          <w:tab w:val="num" w:pos="2160"/>
        </w:tabs>
        <w:ind w:left="2160" w:hanging="360"/>
      </w:pPr>
      <w:rPr>
        <w:rFonts w:ascii="Arial" w:hAnsi="Arial" w:hint="default"/>
      </w:rPr>
    </w:lvl>
    <w:lvl w:ilvl="3" w:tplc="12F48E62" w:tentative="1">
      <w:start w:val="1"/>
      <w:numFmt w:val="bullet"/>
      <w:lvlText w:val="–"/>
      <w:lvlJc w:val="left"/>
      <w:pPr>
        <w:tabs>
          <w:tab w:val="num" w:pos="2880"/>
        </w:tabs>
        <w:ind w:left="2880" w:hanging="360"/>
      </w:pPr>
      <w:rPr>
        <w:rFonts w:ascii="Arial" w:hAnsi="Arial" w:hint="default"/>
      </w:rPr>
    </w:lvl>
    <w:lvl w:ilvl="4" w:tplc="F0EAF39E" w:tentative="1">
      <w:start w:val="1"/>
      <w:numFmt w:val="bullet"/>
      <w:lvlText w:val="–"/>
      <w:lvlJc w:val="left"/>
      <w:pPr>
        <w:tabs>
          <w:tab w:val="num" w:pos="3600"/>
        </w:tabs>
        <w:ind w:left="3600" w:hanging="360"/>
      </w:pPr>
      <w:rPr>
        <w:rFonts w:ascii="Arial" w:hAnsi="Arial" w:hint="default"/>
      </w:rPr>
    </w:lvl>
    <w:lvl w:ilvl="5" w:tplc="7D4A0790" w:tentative="1">
      <w:start w:val="1"/>
      <w:numFmt w:val="bullet"/>
      <w:lvlText w:val="–"/>
      <w:lvlJc w:val="left"/>
      <w:pPr>
        <w:tabs>
          <w:tab w:val="num" w:pos="4320"/>
        </w:tabs>
        <w:ind w:left="4320" w:hanging="360"/>
      </w:pPr>
      <w:rPr>
        <w:rFonts w:ascii="Arial" w:hAnsi="Arial" w:hint="default"/>
      </w:rPr>
    </w:lvl>
    <w:lvl w:ilvl="6" w:tplc="7488E736" w:tentative="1">
      <w:start w:val="1"/>
      <w:numFmt w:val="bullet"/>
      <w:lvlText w:val="–"/>
      <w:lvlJc w:val="left"/>
      <w:pPr>
        <w:tabs>
          <w:tab w:val="num" w:pos="5040"/>
        </w:tabs>
        <w:ind w:left="5040" w:hanging="360"/>
      </w:pPr>
      <w:rPr>
        <w:rFonts w:ascii="Arial" w:hAnsi="Arial" w:hint="default"/>
      </w:rPr>
    </w:lvl>
    <w:lvl w:ilvl="7" w:tplc="8E48CD82" w:tentative="1">
      <w:start w:val="1"/>
      <w:numFmt w:val="bullet"/>
      <w:lvlText w:val="–"/>
      <w:lvlJc w:val="left"/>
      <w:pPr>
        <w:tabs>
          <w:tab w:val="num" w:pos="5760"/>
        </w:tabs>
        <w:ind w:left="5760" w:hanging="360"/>
      </w:pPr>
      <w:rPr>
        <w:rFonts w:ascii="Arial" w:hAnsi="Arial" w:hint="default"/>
      </w:rPr>
    </w:lvl>
    <w:lvl w:ilvl="8" w:tplc="821AC0E6" w:tentative="1">
      <w:start w:val="1"/>
      <w:numFmt w:val="bullet"/>
      <w:lvlText w:val="–"/>
      <w:lvlJc w:val="left"/>
      <w:pPr>
        <w:tabs>
          <w:tab w:val="num" w:pos="6480"/>
        </w:tabs>
        <w:ind w:left="6480" w:hanging="360"/>
      </w:pPr>
      <w:rPr>
        <w:rFonts w:ascii="Arial" w:hAnsi="Arial" w:hint="default"/>
      </w:rPr>
    </w:lvl>
  </w:abstractNum>
  <w:abstractNum w:abstractNumId="28">
    <w:nsid w:val="53940C7D"/>
    <w:multiLevelType w:val="hybridMultilevel"/>
    <w:tmpl w:val="8376AB8C"/>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nsid w:val="5D6700BF"/>
    <w:multiLevelType w:val="hybridMultilevel"/>
    <w:tmpl w:val="B866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9A26A0"/>
    <w:multiLevelType w:val="hybridMultilevel"/>
    <w:tmpl w:val="E7D8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32">
    <w:nsid w:val="684C76FA"/>
    <w:multiLevelType w:val="hybridMultilevel"/>
    <w:tmpl w:val="895E40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036AD"/>
    <w:multiLevelType w:val="hybridMultilevel"/>
    <w:tmpl w:val="B8CE2B96"/>
    <w:lvl w:ilvl="0" w:tplc="93EEB658">
      <w:start w:val="1"/>
      <w:numFmt w:val="bullet"/>
      <w:lvlText w:val="–"/>
      <w:lvlJc w:val="left"/>
      <w:pPr>
        <w:tabs>
          <w:tab w:val="num" w:pos="720"/>
        </w:tabs>
        <w:ind w:left="720" w:hanging="360"/>
      </w:pPr>
      <w:rPr>
        <w:rFonts w:ascii="Arial" w:hAnsi="Arial" w:hint="default"/>
      </w:rPr>
    </w:lvl>
    <w:lvl w:ilvl="1" w:tplc="D7AA1718">
      <w:start w:val="1"/>
      <w:numFmt w:val="bullet"/>
      <w:lvlText w:val="–"/>
      <w:lvlJc w:val="left"/>
      <w:pPr>
        <w:tabs>
          <w:tab w:val="num" w:pos="1440"/>
        </w:tabs>
        <w:ind w:left="1440" w:hanging="360"/>
      </w:pPr>
      <w:rPr>
        <w:rFonts w:ascii="Arial" w:hAnsi="Arial" w:hint="default"/>
      </w:rPr>
    </w:lvl>
    <w:lvl w:ilvl="2" w:tplc="63342C90" w:tentative="1">
      <w:start w:val="1"/>
      <w:numFmt w:val="bullet"/>
      <w:lvlText w:val="–"/>
      <w:lvlJc w:val="left"/>
      <w:pPr>
        <w:tabs>
          <w:tab w:val="num" w:pos="2160"/>
        </w:tabs>
        <w:ind w:left="2160" w:hanging="360"/>
      </w:pPr>
      <w:rPr>
        <w:rFonts w:ascii="Arial" w:hAnsi="Arial" w:hint="default"/>
      </w:rPr>
    </w:lvl>
    <w:lvl w:ilvl="3" w:tplc="EC5AEE48" w:tentative="1">
      <w:start w:val="1"/>
      <w:numFmt w:val="bullet"/>
      <w:lvlText w:val="–"/>
      <w:lvlJc w:val="left"/>
      <w:pPr>
        <w:tabs>
          <w:tab w:val="num" w:pos="2880"/>
        </w:tabs>
        <w:ind w:left="2880" w:hanging="360"/>
      </w:pPr>
      <w:rPr>
        <w:rFonts w:ascii="Arial" w:hAnsi="Arial" w:hint="default"/>
      </w:rPr>
    </w:lvl>
    <w:lvl w:ilvl="4" w:tplc="EE105EB8" w:tentative="1">
      <w:start w:val="1"/>
      <w:numFmt w:val="bullet"/>
      <w:lvlText w:val="–"/>
      <w:lvlJc w:val="left"/>
      <w:pPr>
        <w:tabs>
          <w:tab w:val="num" w:pos="3600"/>
        </w:tabs>
        <w:ind w:left="3600" w:hanging="360"/>
      </w:pPr>
      <w:rPr>
        <w:rFonts w:ascii="Arial" w:hAnsi="Arial" w:hint="default"/>
      </w:rPr>
    </w:lvl>
    <w:lvl w:ilvl="5" w:tplc="28441A0C" w:tentative="1">
      <w:start w:val="1"/>
      <w:numFmt w:val="bullet"/>
      <w:lvlText w:val="–"/>
      <w:lvlJc w:val="left"/>
      <w:pPr>
        <w:tabs>
          <w:tab w:val="num" w:pos="4320"/>
        </w:tabs>
        <w:ind w:left="4320" w:hanging="360"/>
      </w:pPr>
      <w:rPr>
        <w:rFonts w:ascii="Arial" w:hAnsi="Arial" w:hint="default"/>
      </w:rPr>
    </w:lvl>
    <w:lvl w:ilvl="6" w:tplc="C220D09E" w:tentative="1">
      <w:start w:val="1"/>
      <w:numFmt w:val="bullet"/>
      <w:lvlText w:val="–"/>
      <w:lvlJc w:val="left"/>
      <w:pPr>
        <w:tabs>
          <w:tab w:val="num" w:pos="5040"/>
        </w:tabs>
        <w:ind w:left="5040" w:hanging="360"/>
      </w:pPr>
      <w:rPr>
        <w:rFonts w:ascii="Arial" w:hAnsi="Arial" w:hint="default"/>
      </w:rPr>
    </w:lvl>
    <w:lvl w:ilvl="7" w:tplc="D9D08500" w:tentative="1">
      <w:start w:val="1"/>
      <w:numFmt w:val="bullet"/>
      <w:lvlText w:val="–"/>
      <w:lvlJc w:val="left"/>
      <w:pPr>
        <w:tabs>
          <w:tab w:val="num" w:pos="5760"/>
        </w:tabs>
        <w:ind w:left="5760" w:hanging="360"/>
      </w:pPr>
      <w:rPr>
        <w:rFonts w:ascii="Arial" w:hAnsi="Arial" w:hint="default"/>
      </w:rPr>
    </w:lvl>
    <w:lvl w:ilvl="8" w:tplc="BE066AFE" w:tentative="1">
      <w:start w:val="1"/>
      <w:numFmt w:val="bullet"/>
      <w:lvlText w:val="–"/>
      <w:lvlJc w:val="left"/>
      <w:pPr>
        <w:tabs>
          <w:tab w:val="num" w:pos="6480"/>
        </w:tabs>
        <w:ind w:left="6480" w:hanging="360"/>
      </w:pPr>
      <w:rPr>
        <w:rFonts w:ascii="Arial" w:hAnsi="Arial" w:hint="default"/>
      </w:rPr>
    </w:lvl>
  </w:abstractNum>
  <w:abstractNum w:abstractNumId="34">
    <w:nsid w:val="6C9B4F67"/>
    <w:multiLevelType w:val="hybridMultilevel"/>
    <w:tmpl w:val="C13A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CA557E"/>
    <w:multiLevelType w:val="hybridMultilevel"/>
    <w:tmpl w:val="0B7C1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1B6303"/>
    <w:multiLevelType w:val="hybridMultilevel"/>
    <w:tmpl w:val="73F02148"/>
    <w:lvl w:ilvl="0" w:tplc="0FACAE3A">
      <w:start w:val="1"/>
      <w:numFmt w:val="bullet"/>
      <w:lvlText w:val="–"/>
      <w:lvlJc w:val="left"/>
      <w:pPr>
        <w:tabs>
          <w:tab w:val="num" w:pos="720"/>
        </w:tabs>
        <w:ind w:left="720" w:hanging="360"/>
      </w:pPr>
      <w:rPr>
        <w:rFonts w:ascii="Arial" w:hAnsi="Arial" w:hint="default"/>
      </w:rPr>
    </w:lvl>
    <w:lvl w:ilvl="1" w:tplc="59381DFA">
      <w:start w:val="1"/>
      <w:numFmt w:val="bullet"/>
      <w:lvlText w:val="–"/>
      <w:lvlJc w:val="left"/>
      <w:pPr>
        <w:tabs>
          <w:tab w:val="num" w:pos="1440"/>
        </w:tabs>
        <w:ind w:left="1440" w:hanging="360"/>
      </w:pPr>
      <w:rPr>
        <w:rFonts w:ascii="Arial" w:hAnsi="Arial" w:hint="default"/>
      </w:rPr>
    </w:lvl>
    <w:lvl w:ilvl="2" w:tplc="87B47D3C" w:tentative="1">
      <w:start w:val="1"/>
      <w:numFmt w:val="bullet"/>
      <w:lvlText w:val="–"/>
      <w:lvlJc w:val="left"/>
      <w:pPr>
        <w:tabs>
          <w:tab w:val="num" w:pos="2160"/>
        </w:tabs>
        <w:ind w:left="2160" w:hanging="360"/>
      </w:pPr>
      <w:rPr>
        <w:rFonts w:ascii="Arial" w:hAnsi="Arial" w:hint="default"/>
      </w:rPr>
    </w:lvl>
    <w:lvl w:ilvl="3" w:tplc="CE2E4CF6" w:tentative="1">
      <w:start w:val="1"/>
      <w:numFmt w:val="bullet"/>
      <w:lvlText w:val="–"/>
      <w:lvlJc w:val="left"/>
      <w:pPr>
        <w:tabs>
          <w:tab w:val="num" w:pos="2880"/>
        </w:tabs>
        <w:ind w:left="2880" w:hanging="360"/>
      </w:pPr>
      <w:rPr>
        <w:rFonts w:ascii="Arial" w:hAnsi="Arial" w:hint="default"/>
      </w:rPr>
    </w:lvl>
    <w:lvl w:ilvl="4" w:tplc="F9387FC0" w:tentative="1">
      <w:start w:val="1"/>
      <w:numFmt w:val="bullet"/>
      <w:lvlText w:val="–"/>
      <w:lvlJc w:val="left"/>
      <w:pPr>
        <w:tabs>
          <w:tab w:val="num" w:pos="3600"/>
        </w:tabs>
        <w:ind w:left="3600" w:hanging="360"/>
      </w:pPr>
      <w:rPr>
        <w:rFonts w:ascii="Arial" w:hAnsi="Arial" w:hint="default"/>
      </w:rPr>
    </w:lvl>
    <w:lvl w:ilvl="5" w:tplc="8D5EEA6E" w:tentative="1">
      <w:start w:val="1"/>
      <w:numFmt w:val="bullet"/>
      <w:lvlText w:val="–"/>
      <w:lvlJc w:val="left"/>
      <w:pPr>
        <w:tabs>
          <w:tab w:val="num" w:pos="4320"/>
        </w:tabs>
        <w:ind w:left="4320" w:hanging="360"/>
      </w:pPr>
      <w:rPr>
        <w:rFonts w:ascii="Arial" w:hAnsi="Arial" w:hint="default"/>
      </w:rPr>
    </w:lvl>
    <w:lvl w:ilvl="6" w:tplc="465A73C6" w:tentative="1">
      <w:start w:val="1"/>
      <w:numFmt w:val="bullet"/>
      <w:lvlText w:val="–"/>
      <w:lvlJc w:val="left"/>
      <w:pPr>
        <w:tabs>
          <w:tab w:val="num" w:pos="5040"/>
        </w:tabs>
        <w:ind w:left="5040" w:hanging="360"/>
      </w:pPr>
      <w:rPr>
        <w:rFonts w:ascii="Arial" w:hAnsi="Arial" w:hint="default"/>
      </w:rPr>
    </w:lvl>
    <w:lvl w:ilvl="7" w:tplc="E15AD37E" w:tentative="1">
      <w:start w:val="1"/>
      <w:numFmt w:val="bullet"/>
      <w:lvlText w:val="–"/>
      <w:lvlJc w:val="left"/>
      <w:pPr>
        <w:tabs>
          <w:tab w:val="num" w:pos="5760"/>
        </w:tabs>
        <w:ind w:left="5760" w:hanging="360"/>
      </w:pPr>
      <w:rPr>
        <w:rFonts w:ascii="Arial" w:hAnsi="Arial" w:hint="default"/>
      </w:rPr>
    </w:lvl>
    <w:lvl w:ilvl="8" w:tplc="0F081FCE" w:tentative="1">
      <w:start w:val="1"/>
      <w:numFmt w:val="bullet"/>
      <w:lvlText w:val="–"/>
      <w:lvlJc w:val="left"/>
      <w:pPr>
        <w:tabs>
          <w:tab w:val="num" w:pos="6480"/>
        </w:tabs>
        <w:ind w:left="6480" w:hanging="360"/>
      </w:pPr>
      <w:rPr>
        <w:rFonts w:ascii="Arial" w:hAnsi="Arial" w:hint="default"/>
      </w:rPr>
    </w:lvl>
  </w:abstractNum>
  <w:abstractNum w:abstractNumId="37">
    <w:nsid w:val="6E64428B"/>
    <w:multiLevelType w:val="hybridMultilevel"/>
    <w:tmpl w:val="13A6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4D38C5"/>
    <w:multiLevelType w:val="hybridMultilevel"/>
    <w:tmpl w:val="5140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6711F0"/>
    <w:multiLevelType w:val="hybridMultilevel"/>
    <w:tmpl w:val="A0EAABBC"/>
    <w:lvl w:ilvl="0" w:tplc="EB64EE4C">
      <w:start w:val="1"/>
      <w:numFmt w:val="bullet"/>
      <w:lvlText w:val="•"/>
      <w:lvlJc w:val="left"/>
      <w:pPr>
        <w:tabs>
          <w:tab w:val="num" w:pos="720"/>
        </w:tabs>
        <w:ind w:left="720" w:hanging="360"/>
      </w:pPr>
      <w:rPr>
        <w:rFonts w:ascii="Arial" w:hAnsi="Arial" w:hint="default"/>
      </w:rPr>
    </w:lvl>
    <w:lvl w:ilvl="1" w:tplc="6B68D2AC">
      <w:numFmt w:val="bullet"/>
      <w:lvlText w:val="–"/>
      <w:lvlJc w:val="left"/>
      <w:pPr>
        <w:tabs>
          <w:tab w:val="num" w:pos="1440"/>
        </w:tabs>
        <w:ind w:left="1440" w:hanging="360"/>
      </w:pPr>
      <w:rPr>
        <w:rFonts w:ascii="Arial" w:hAnsi="Arial" w:hint="default"/>
      </w:rPr>
    </w:lvl>
    <w:lvl w:ilvl="2" w:tplc="C9D6CCA8" w:tentative="1">
      <w:start w:val="1"/>
      <w:numFmt w:val="bullet"/>
      <w:lvlText w:val="•"/>
      <w:lvlJc w:val="left"/>
      <w:pPr>
        <w:tabs>
          <w:tab w:val="num" w:pos="2160"/>
        </w:tabs>
        <w:ind w:left="2160" w:hanging="360"/>
      </w:pPr>
      <w:rPr>
        <w:rFonts w:ascii="Arial" w:hAnsi="Arial" w:hint="default"/>
      </w:rPr>
    </w:lvl>
    <w:lvl w:ilvl="3" w:tplc="D6AE82D2" w:tentative="1">
      <w:start w:val="1"/>
      <w:numFmt w:val="bullet"/>
      <w:lvlText w:val="•"/>
      <w:lvlJc w:val="left"/>
      <w:pPr>
        <w:tabs>
          <w:tab w:val="num" w:pos="2880"/>
        </w:tabs>
        <w:ind w:left="2880" w:hanging="360"/>
      </w:pPr>
      <w:rPr>
        <w:rFonts w:ascii="Arial" w:hAnsi="Arial" w:hint="default"/>
      </w:rPr>
    </w:lvl>
    <w:lvl w:ilvl="4" w:tplc="44E8C33E" w:tentative="1">
      <w:start w:val="1"/>
      <w:numFmt w:val="bullet"/>
      <w:lvlText w:val="•"/>
      <w:lvlJc w:val="left"/>
      <w:pPr>
        <w:tabs>
          <w:tab w:val="num" w:pos="3600"/>
        </w:tabs>
        <w:ind w:left="3600" w:hanging="360"/>
      </w:pPr>
      <w:rPr>
        <w:rFonts w:ascii="Arial" w:hAnsi="Arial" w:hint="default"/>
      </w:rPr>
    </w:lvl>
    <w:lvl w:ilvl="5" w:tplc="C390E6A0" w:tentative="1">
      <w:start w:val="1"/>
      <w:numFmt w:val="bullet"/>
      <w:lvlText w:val="•"/>
      <w:lvlJc w:val="left"/>
      <w:pPr>
        <w:tabs>
          <w:tab w:val="num" w:pos="4320"/>
        </w:tabs>
        <w:ind w:left="4320" w:hanging="360"/>
      </w:pPr>
      <w:rPr>
        <w:rFonts w:ascii="Arial" w:hAnsi="Arial" w:hint="default"/>
      </w:rPr>
    </w:lvl>
    <w:lvl w:ilvl="6" w:tplc="077682FC" w:tentative="1">
      <w:start w:val="1"/>
      <w:numFmt w:val="bullet"/>
      <w:lvlText w:val="•"/>
      <w:lvlJc w:val="left"/>
      <w:pPr>
        <w:tabs>
          <w:tab w:val="num" w:pos="5040"/>
        </w:tabs>
        <w:ind w:left="5040" w:hanging="360"/>
      </w:pPr>
      <w:rPr>
        <w:rFonts w:ascii="Arial" w:hAnsi="Arial" w:hint="default"/>
      </w:rPr>
    </w:lvl>
    <w:lvl w:ilvl="7" w:tplc="69C06000" w:tentative="1">
      <w:start w:val="1"/>
      <w:numFmt w:val="bullet"/>
      <w:lvlText w:val="•"/>
      <w:lvlJc w:val="left"/>
      <w:pPr>
        <w:tabs>
          <w:tab w:val="num" w:pos="5760"/>
        </w:tabs>
        <w:ind w:left="5760" w:hanging="360"/>
      </w:pPr>
      <w:rPr>
        <w:rFonts w:ascii="Arial" w:hAnsi="Arial" w:hint="default"/>
      </w:rPr>
    </w:lvl>
    <w:lvl w:ilvl="8" w:tplc="5372D360" w:tentative="1">
      <w:start w:val="1"/>
      <w:numFmt w:val="bullet"/>
      <w:lvlText w:val="•"/>
      <w:lvlJc w:val="left"/>
      <w:pPr>
        <w:tabs>
          <w:tab w:val="num" w:pos="6480"/>
        </w:tabs>
        <w:ind w:left="6480" w:hanging="360"/>
      </w:pPr>
      <w:rPr>
        <w:rFonts w:ascii="Arial" w:hAnsi="Arial" w:hint="default"/>
      </w:rPr>
    </w:lvl>
  </w:abstractNum>
  <w:abstractNum w:abstractNumId="40">
    <w:nsid w:val="72AC12DF"/>
    <w:multiLevelType w:val="hybridMultilevel"/>
    <w:tmpl w:val="2E46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511F83"/>
    <w:multiLevelType w:val="hybridMultilevel"/>
    <w:tmpl w:val="309E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CB4246"/>
    <w:multiLevelType w:val="hybridMultilevel"/>
    <w:tmpl w:val="95AC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A46D2A"/>
    <w:multiLevelType w:val="hybridMultilevel"/>
    <w:tmpl w:val="5736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BC7840"/>
    <w:multiLevelType w:val="hybridMultilevel"/>
    <w:tmpl w:val="F60845A8"/>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5">
    <w:nsid w:val="7EFD0A8A"/>
    <w:multiLevelType w:val="hybridMultilevel"/>
    <w:tmpl w:val="E342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1"/>
  </w:num>
  <w:num w:numId="3">
    <w:abstractNumId w:val="29"/>
  </w:num>
  <w:num w:numId="4">
    <w:abstractNumId w:val="41"/>
  </w:num>
  <w:num w:numId="5">
    <w:abstractNumId w:val="20"/>
  </w:num>
  <w:num w:numId="6">
    <w:abstractNumId w:val="23"/>
  </w:num>
  <w:num w:numId="7">
    <w:abstractNumId w:val="2"/>
  </w:num>
  <w:num w:numId="8">
    <w:abstractNumId w:val="30"/>
  </w:num>
  <w:num w:numId="9">
    <w:abstractNumId w:val="34"/>
  </w:num>
  <w:num w:numId="10">
    <w:abstractNumId w:val="43"/>
  </w:num>
  <w:num w:numId="11">
    <w:abstractNumId w:val="17"/>
  </w:num>
  <w:num w:numId="12">
    <w:abstractNumId w:val="39"/>
  </w:num>
  <w:num w:numId="13">
    <w:abstractNumId w:val="37"/>
  </w:num>
  <w:num w:numId="14">
    <w:abstractNumId w:val="45"/>
  </w:num>
  <w:num w:numId="15">
    <w:abstractNumId w:val="5"/>
  </w:num>
  <w:num w:numId="16">
    <w:abstractNumId w:val="15"/>
  </w:num>
  <w:num w:numId="17">
    <w:abstractNumId w:val="21"/>
  </w:num>
  <w:num w:numId="18">
    <w:abstractNumId w:val="11"/>
  </w:num>
  <w:num w:numId="19">
    <w:abstractNumId w:val="10"/>
  </w:num>
  <w:num w:numId="20">
    <w:abstractNumId w:val="24"/>
  </w:num>
  <w:num w:numId="21">
    <w:abstractNumId w:val="38"/>
  </w:num>
  <w:num w:numId="22">
    <w:abstractNumId w:val="27"/>
  </w:num>
  <w:num w:numId="23">
    <w:abstractNumId w:val="36"/>
  </w:num>
  <w:num w:numId="24">
    <w:abstractNumId w:val="33"/>
  </w:num>
  <w:num w:numId="25">
    <w:abstractNumId w:val="16"/>
  </w:num>
  <w:num w:numId="26">
    <w:abstractNumId w:val="22"/>
  </w:num>
  <w:num w:numId="27">
    <w:abstractNumId w:val="25"/>
  </w:num>
  <w:num w:numId="28">
    <w:abstractNumId w:val="9"/>
  </w:num>
  <w:num w:numId="29">
    <w:abstractNumId w:val="6"/>
  </w:num>
  <w:num w:numId="30">
    <w:abstractNumId w:val="40"/>
  </w:num>
  <w:num w:numId="31">
    <w:abstractNumId w:val="42"/>
  </w:num>
  <w:num w:numId="32">
    <w:abstractNumId w:val="32"/>
  </w:num>
  <w:num w:numId="33">
    <w:abstractNumId w:val="28"/>
  </w:num>
  <w:num w:numId="34">
    <w:abstractNumId w:val="44"/>
  </w:num>
  <w:num w:numId="35">
    <w:abstractNumId w:val="0"/>
  </w:num>
  <w:num w:numId="36">
    <w:abstractNumId w:val="13"/>
  </w:num>
  <w:num w:numId="37">
    <w:abstractNumId w:val="4"/>
  </w:num>
  <w:num w:numId="38">
    <w:abstractNumId w:val="7"/>
  </w:num>
  <w:num w:numId="39">
    <w:abstractNumId w:val="3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
  </w:num>
  <w:num w:numId="44">
    <w:abstractNumId w:val="8"/>
  </w:num>
  <w:num w:numId="45">
    <w:abstractNumId w:val="14"/>
  </w:num>
  <w:num w:numId="46">
    <w:abstractNumId w:val="18"/>
  </w:num>
  <w:num w:numId="47">
    <w:abstractNumId w:val="19"/>
  </w:num>
  <w:num w:numId="4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DE"/>
    <w:rsid w:val="000134FF"/>
    <w:rsid w:val="00013747"/>
    <w:rsid w:val="0001686B"/>
    <w:rsid w:val="00020FC8"/>
    <w:rsid w:val="00021DAD"/>
    <w:rsid w:val="00026510"/>
    <w:rsid w:val="0002764D"/>
    <w:rsid w:val="00027D0B"/>
    <w:rsid w:val="00030213"/>
    <w:rsid w:val="00035107"/>
    <w:rsid w:val="000370A3"/>
    <w:rsid w:val="00040EF9"/>
    <w:rsid w:val="0004339F"/>
    <w:rsid w:val="00043F72"/>
    <w:rsid w:val="00044023"/>
    <w:rsid w:val="00050A1D"/>
    <w:rsid w:val="00055373"/>
    <w:rsid w:val="00056466"/>
    <w:rsid w:val="00057E38"/>
    <w:rsid w:val="0006093A"/>
    <w:rsid w:val="00060EEA"/>
    <w:rsid w:val="00061F71"/>
    <w:rsid w:val="000654A5"/>
    <w:rsid w:val="00065B2D"/>
    <w:rsid w:val="00070B3B"/>
    <w:rsid w:val="00071DEF"/>
    <w:rsid w:val="00076EE3"/>
    <w:rsid w:val="0008363A"/>
    <w:rsid w:val="000857AE"/>
    <w:rsid w:val="00085E6B"/>
    <w:rsid w:val="00086B3B"/>
    <w:rsid w:val="0009241C"/>
    <w:rsid w:val="00092664"/>
    <w:rsid w:val="000945EC"/>
    <w:rsid w:val="0009493D"/>
    <w:rsid w:val="00097FB2"/>
    <w:rsid w:val="000A07D3"/>
    <w:rsid w:val="000A53E2"/>
    <w:rsid w:val="000B0358"/>
    <w:rsid w:val="000B305A"/>
    <w:rsid w:val="000C15A4"/>
    <w:rsid w:val="000C5698"/>
    <w:rsid w:val="000D0D9A"/>
    <w:rsid w:val="000D2F1B"/>
    <w:rsid w:val="000D4B96"/>
    <w:rsid w:val="000E0F85"/>
    <w:rsid w:val="000E1248"/>
    <w:rsid w:val="000F0BBD"/>
    <w:rsid w:val="000F42CE"/>
    <w:rsid w:val="001013C1"/>
    <w:rsid w:val="00101888"/>
    <w:rsid w:val="001051B9"/>
    <w:rsid w:val="00106263"/>
    <w:rsid w:val="00107089"/>
    <w:rsid w:val="00114DA3"/>
    <w:rsid w:val="001200E3"/>
    <w:rsid w:val="0012020D"/>
    <w:rsid w:val="00124F24"/>
    <w:rsid w:val="0012593D"/>
    <w:rsid w:val="00125DCE"/>
    <w:rsid w:val="00127558"/>
    <w:rsid w:val="001347D9"/>
    <w:rsid w:val="0013665A"/>
    <w:rsid w:val="00144E0B"/>
    <w:rsid w:val="00147BC2"/>
    <w:rsid w:val="0015357D"/>
    <w:rsid w:val="00155860"/>
    <w:rsid w:val="0015631F"/>
    <w:rsid w:val="001567C8"/>
    <w:rsid w:val="0016043F"/>
    <w:rsid w:val="00162FA3"/>
    <w:rsid w:val="00164079"/>
    <w:rsid w:val="001647B8"/>
    <w:rsid w:val="00166E07"/>
    <w:rsid w:val="00167DA5"/>
    <w:rsid w:val="0017104D"/>
    <w:rsid w:val="0017624E"/>
    <w:rsid w:val="001838A9"/>
    <w:rsid w:val="00193564"/>
    <w:rsid w:val="001A6A16"/>
    <w:rsid w:val="001B0DB0"/>
    <w:rsid w:val="001B22F3"/>
    <w:rsid w:val="001B3A22"/>
    <w:rsid w:val="001B4155"/>
    <w:rsid w:val="001B4978"/>
    <w:rsid w:val="001B5CF5"/>
    <w:rsid w:val="001C64F3"/>
    <w:rsid w:val="001C7E78"/>
    <w:rsid w:val="001C7F88"/>
    <w:rsid w:val="001D1903"/>
    <w:rsid w:val="001D4573"/>
    <w:rsid w:val="001D612B"/>
    <w:rsid w:val="001D6F0D"/>
    <w:rsid w:val="001E05BE"/>
    <w:rsid w:val="001E1175"/>
    <w:rsid w:val="001E51FE"/>
    <w:rsid w:val="001E5FA1"/>
    <w:rsid w:val="001F4BD6"/>
    <w:rsid w:val="001F4F56"/>
    <w:rsid w:val="001F69C7"/>
    <w:rsid w:val="00200E28"/>
    <w:rsid w:val="00203D9F"/>
    <w:rsid w:val="00205D32"/>
    <w:rsid w:val="002118C4"/>
    <w:rsid w:val="00211E87"/>
    <w:rsid w:val="00212282"/>
    <w:rsid w:val="002137A6"/>
    <w:rsid w:val="002149B6"/>
    <w:rsid w:val="00215627"/>
    <w:rsid w:val="00216B2E"/>
    <w:rsid w:val="00217DD1"/>
    <w:rsid w:val="002205F6"/>
    <w:rsid w:val="00221049"/>
    <w:rsid w:val="00222282"/>
    <w:rsid w:val="0022295A"/>
    <w:rsid w:val="00230DE0"/>
    <w:rsid w:val="0023725B"/>
    <w:rsid w:val="00237655"/>
    <w:rsid w:val="0024243D"/>
    <w:rsid w:val="00244DB6"/>
    <w:rsid w:val="00250162"/>
    <w:rsid w:val="0025392B"/>
    <w:rsid w:val="00262834"/>
    <w:rsid w:val="00264107"/>
    <w:rsid w:val="00265D7F"/>
    <w:rsid w:val="002678B8"/>
    <w:rsid w:val="002731DA"/>
    <w:rsid w:val="00276F2E"/>
    <w:rsid w:val="00277010"/>
    <w:rsid w:val="00280F62"/>
    <w:rsid w:val="00282FB2"/>
    <w:rsid w:val="00285299"/>
    <w:rsid w:val="0028569F"/>
    <w:rsid w:val="00290AA6"/>
    <w:rsid w:val="00296709"/>
    <w:rsid w:val="002A0220"/>
    <w:rsid w:val="002A54C5"/>
    <w:rsid w:val="002A5701"/>
    <w:rsid w:val="002A751A"/>
    <w:rsid w:val="002B10AA"/>
    <w:rsid w:val="002C0AEE"/>
    <w:rsid w:val="002C2B5A"/>
    <w:rsid w:val="002C3A1F"/>
    <w:rsid w:val="002D16AA"/>
    <w:rsid w:val="002D435B"/>
    <w:rsid w:val="002D5F9F"/>
    <w:rsid w:val="002E32BB"/>
    <w:rsid w:val="002F30E2"/>
    <w:rsid w:val="0030081D"/>
    <w:rsid w:val="003011E0"/>
    <w:rsid w:val="003027CC"/>
    <w:rsid w:val="00305543"/>
    <w:rsid w:val="0030665E"/>
    <w:rsid w:val="003132B3"/>
    <w:rsid w:val="0031476D"/>
    <w:rsid w:val="00315BAF"/>
    <w:rsid w:val="00322FFB"/>
    <w:rsid w:val="00325D9C"/>
    <w:rsid w:val="00333F43"/>
    <w:rsid w:val="00336961"/>
    <w:rsid w:val="00337D4E"/>
    <w:rsid w:val="00341C60"/>
    <w:rsid w:val="00341CA8"/>
    <w:rsid w:val="00346CB6"/>
    <w:rsid w:val="0035086A"/>
    <w:rsid w:val="00352A47"/>
    <w:rsid w:val="00353A6F"/>
    <w:rsid w:val="00354A8B"/>
    <w:rsid w:val="0036268A"/>
    <w:rsid w:val="00364449"/>
    <w:rsid w:val="003653E8"/>
    <w:rsid w:val="0036667C"/>
    <w:rsid w:val="0037145C"/>
    <w:rsid w:val="003729F5"/>
    <w:rsid w:val="003756F6"/>
    <w:rsid w:val="003774DD"/>
    <w:rsid w:val="00377B19"/>
    <w:rsid w:val="003811EF"/>
    <w:rsid w:val="0038137F"/>
    <w:rsid w:val="003835B0"/>
    <w:rsid w:val="00383DAA"/>
    <w:rsid w:val="00385EF0"/>
    <w:rsid w:val="003910CC"/>
    <w:rsid w:val="003910E4"/>
    <w:rsid w:val="00391CBC"/>
    <w:rsid w:val="00391DED"/>
    <w:rsid w:val="003932EF"/>
    <w:rsid w:val="003A1535"/>
    <w:rsid w:val="003A15A7"/>
    <w:rsid w:val="003B0884"/>
    <w:rsid w:val="003C0E3A"/>
    <w:rsid w:val="003C54A6"/>
    <w:rsid w:val="003C6D2C"/>
    <w:rsid w:val="003C7349"/>
    <w:rsid w:val="003E0CEB"/>
    <w:rsid w:val="003E156A"/>
    <w:rsid w:val="003E5889"/>
    <w:rsid w:val="003E7A3D"/>
    <w:rsid w:val="003F66B5"/>
    <w:rsid w:val="004001DB"/>
    <w:rsid w:val="0040346E"/>
    <w:rsid w:val="0040511B"/>
    <w:rsid w:val="004106A5"/>
    <w:rsid w:val="00413E48"/>
    <w:rsid w:val="00414088"/>
    <w:rsid w:val="00417967"/>
    <w:rsid w:val="00421D02"/>
    <w:rsid w:val="00425417"/>
    <w:rsid w:val="00426944"/>
    <w:rsid w:val="00427275"/>
    <w:rsid w:val="00432D91"/>
    <w:rsid w:val="004344A5"/>
    <w:rsid w:val="00444A2E"/>
    <w:rsid w:val="0044582B"/>
    <w:rsid w:val="004472A2"/>
    <w:rsid w:val="00447FF1"/>
    <w:rsid w:val="00450437"/>
    <w:rsid w:val="00450AD5"/>
    <w:rsid w:val="00451DB5"/>
    <w:rsid w:val="0045237B"/>
    <w:rsid w:val="00454641"/>
    <w:rsid w:val="00456CFD"/>
    <w:rsid w:val="00461E46"/>
    <w:rsid w:val="004626AD"/>
    <w:rsid w:val="00462DD7"/>
    <w:rsid w:val="0046309C"/>
    <w:rsid w:val="0046424A"/>
    <w:rsid w:val="00471135"/>
    <w:rsid w:val="00471496"/>
    <w:rsid w:val="00472D96"/>
    <w:rsid w:val="00480D04"/>
    <w:rsid w:val="00480FDF"/>
    <w:rsid w:val="00481EA3"/>
    <w:rsid w:val="00485492"/>
    <w:rsid w:val="00491EC8"/>
    <w:rsid w:val="00492555"/>
    <w:rsid w:val="00495043"/>
    <w:rsid w:val="004A2077"/>
    <w:rsid w:val="004A6052"/>
    <w:rsid w:val="004B1F98"/>
    <w:rsid w:val="004B2514"/>
    <w:rsid w:val="004C452E"/>
    <w:rsid w:val="004D01FB"/>
    <w:rsid w:val="004D2EEB"/>
    <w:rsid w:val="004D3E00"/>
    <w:rsid w:val="004F11AF"/>
    <w:rsid w:val="004F231A"/>
    <w:rsid w:val="004F547F"/>
    <w:rsid w:val="00504208"/>
    <w:rsid w:val="00504C3C"/>
    <w:rsid w:val="005052C3"/>
    <w:rsid w:val="00511BE1"/>
    <w:rsid w:val="00513E7C"/>
    <w:rsid w:val="005174EA"/>
    <w:rsid w:val="00520020"/>
    <w:rsid w:val="0052389E"/>
    <w:rsid w:val="00530A3E"/>
    <w:rsid w:val="00531EBF"/>
    <w:rsid w:val="00533242"/>
    <w:rsid w:val="00533E5A"/>
    <w:rsid w:val="005348C1"/>
    <w:rsid w:val="005369B3"/>
    <w:rsid w:val="005408E7"/>
    <w:rsid w:val="00542069"/>
    <w:rsid w:val="00544FE5"/>
    <w:rsid w:val="005454D6"/>
    <w:rsid w:val="00556465"/>
    <w:rsid w:val="0056256E"/>
    <w:rsid w:val="00566A39"/>
    <w:rsid w:val="00571946"/>
    <w:rsid w:val="00572BFB"/>
    <w:rsid w:val="00576131"/>
    <w:rsid w:val="005820E6"/>
    <w:rsid w:val="00583759"/>
    <w:rsid w:val="0059004D"/>
    <w:rsid w:val="00591815"/>
    <w:rsid w:val="00592876"/>
    <w:rsid w:val="00597638"/>
    <w:rsid w:val="005A09A0"/>
    <w:rsid w:val="005A18D7"/>
    <w:rsid w:val="005A34BC"/>
    <w:rsid w:val="005A3C96"/>
    <w:rsid w:val="005B1725"/>
    <w:rsid w:val="005B1CAF"/>
    <w:rsid w:val="005B3025"/>
    <w:rsid w:val="005B3145"/>
    <w:rsid w:val="005B49A4"/>
    <w:rsid w:val="005B6BC0"/>
    <w:rsid w:val="005B74D3"/>
    <w:rsid w:val="005B7BA4"/>
    <w:rsid w:val="005C129D"/>
    <w:rsid w:val="005C24B1"/>
    <w:rsid w:val="005C3414"/>
    <w:rsid w:val="005C42DC"/>
    <w:rsid w:val="005C56F2"/>
    <w:rsid w:val="005C725E"/>
    <w:rsid w:val="005C7D9C"/>
    <w:rsid w:val="005D07F0"/>
    <w:rsid w:val="005D0D18"/>
    <w:rsid w:val="005D13C4"/>
    <w:rsid w:val="005D298A"/>
    <w:rsid w:val="005D32F9"/>
    <w:rsid w:val="005E461F"/>
    <w:rsid w:val="005E6C55"/>
    <w:rsid w:val="005F71C9"/>
    <w:rsid w:val="006078BB"/>
    <w:rsid w:val="00611247"/>
    <w:rsid w:val="00613BA7"/>
    <w:rsid w:val="006144DD"/>
    <w:rsid w:val="00616908"/>
    <w:rsid w:val="006177E0"/>
    <w:rsid w:val="006214AA"/>
    <w:rsid w:val="006245CA"/>
    <w:rsid w:val="00633FC2"/>
    <w:rsid w:val="00634E5C"/>
    <w:rsid w:val="00641F49"/>
    <w:rsid w:val="00642858"/>
    <w:rsid w:val="00644624"/>
    <w:rsid w:val="00647983"/>
    <w:rsid w:val="00653015"/>
    <w:rsid w:val="00653383"/>
    <w:rsid w:val="00653A41"/>
    <w:rsid w:val="00653FCB"/>
    <w:rsid w:val="0065673C"/>
    <w:rsid w:val="00656E2B"/>
    <w:rsid w:val="00657E00"/>
    <w:rsid w:val="006627D2"/>
    <w:rsid w:val="0066682C"/>
    <w:rsid w:val="00667BA6"/>
    <w:rsid w:val="00667ED2"/>
    <w:rsid w:val="00670728"/>
    <w:rsid w:val="006708D5"/>
    <w:rsid w:val="006757CB"/>
    <w:rsid w:val="00676828"/>
    <w:rsid w:val="00676FC2"/>
    <w:rsid w:val="006813E1"/>
    <w:rsid w:val="006839A7"/>
    <w:rsid w:val="00684982"/>
    <w:rsid w:val="0068706E"/>
    <w:rsid w:val="00696CBD"/>
    <w:rsid w:val="006A3E05"/>
    <w:rsid w:val="006A41C6"/>
    <w:rsid w:val="006A5A27"/>
    <w:rsid w:val="006A630D"/>
    <w:rsid w:val="006A728D"/>
    <w:rsid w:val="006B01F8"/>
    <w:rsid w:val="006B3B95"/>
    <w:rsid w:val="006C0610"/>
    <w:rsid w:val="006C4577"/>
    <w:rsid w:val="006C587E"/>
    <w:rsid w:val="006C7B23"/>
    <w:rsid w:val="006D48D7"/>
    <w:rsid w:val="006D57FA"/>
    <w:rsid w:val="006D75F3"/>
    <w:rsid w:val="006E09E9"/>
    <w:rsid w:val="006E0DDD"/>
    <w:rsid w:val="006E1537"/>
    <w:rsid w:val="006F629E"/>
    <w:rsid w:val="006F6BAA"/>
    <w:rsid w:val="00702C52"/>
    <w:rsid w:val="00704D23"/>
    <w:rsid w:val="0070705F"/>
    <w:rsid w:val="00714C2A"/>
    <w:rsid w:val="00717DF6"/>
    <w:rsid w:val="007277A5"/>
    <w:rsid w:val="007308DC"/>
    <w:rsid w:val="0073411D"/>
    <w:rsid w:val="00740AF6"/>
    <w:rsid w:val="00743626"/>
    <w:rsid w:val="007436E8"/>
    <w:rsid w:val="0074527F"/>
    <w:rsid w:val="007479A5"/>
    <w:rsid w:val="007530F6"/>
    <w:rsid w:val="00755BE7"/>
    <w:rsid w:val="00762127"/>
    <w:rsid w:val="007622A2"/>
    <w:rsid w:val="00763CAE"/>
    <w:rsid w:val="007719D2"/>
    <w:rsid w:val="00781280"/>
    <w:rsid w:val="00782371"/>
    <w:rsid w:val="00784E93"/>
    <w:rsid w:val="00792995"/>
    <w:rsid w:val="00794023"/>
    <w:rsid w:val="007B1905"/>
    <w:rsid w:val="007B3989"/>
    <w:rsid w:val="007C29F8"/>
    <w:rsid w:val="007C2EAF"/>
    <w:rsid w:val="007C323C"/>
    <w:rsid w:val="007C394E"/>
    <w:rsid w:val="007C6A8C"/>
    <w:rsid w:val="007C7130"/>
    <w:rsid w:val="007C7C2A"/>
    <w:rsid w:val="007D4321"/>
    <w:rsid w:val="007E2147"/>
    <w:rsid w:val="007F0D6E"/>
    <w:rsid w:val="007F3EF9"/>
    <w:rsid w:val="007F4761"/>
    <w:rsid w:val="008000ED"/>
    <w:rsid w:val="00802AEB"/>
    <w:rsid w:val="008039BE"/>
    <w:rsid w:val="0080580F"/>
    <w:rsid w:val="0080753C"/>
    <w:rsid w:val="0081006C"/>
    <w:rsid w:val="00812E7C"/>
    <w:rsid w:val="008138FB"/>
    <w:rsid w:val="00820E1A"/>
    <w:rsid w:val="00821C53"/>
    <w:rsid w:val="00823058"/>
    <w:rsid w:val="00832B84"/>
    <w:rsid w:val="008432AE"/>
    <w:rsid w:val="0084405F"/>
    <w:rsid w:val="00847572"/>
    <w:rsid w:val="00853D55"/>
    <w:rsid w:val="0085681F"/>
    <w:rsid w:val="00860525"/>
    <w:rsid w:val="0086122A"/>
    <w:rsid w:val="00861E33"/>
    <w:rsid w:val="00864E4E"/>
    <w:rsid w:val="00873447"/>
    <w:rsid w:val="0087655D"/>
    <w:rsid w:val="00876A33"/>
    <w:rsid w:val="00877C1E"/>
    <w:rsid w:val="008811B3"/>
    <w:rsid w:val="00883FA1"/>
    <w:rsid w:val="00886080"/>
    <w:rsid w:val="008867DE"/>
    <w:rsid w:val="008873EC"/>
    <w:rsid w:val="00891919"/>
    <w:rsid w:val="008974E5"/>
    <w:rsid w:val="008978AE"/>
    <w:rsid w:val="008B4E8F"/>
    <w:rsid w:val="008B57E8"/>
    <w:rsid w:val="008B61F4"/>
    <w:rsid w:val="008C0302"/>
    <w:rsid w:val="008C192D"/>
    <w:rsid w:val="008C5A7E"/>
    <w:rsid w:val="008C5C7F"/>
    <w:rsid w:val="008D2758"/>
    <w:rsid w:val="008D2D62"/>
    <w:rsid w:val="008D3016"/>
    <w:rsid w:val="008D3CD9"/>
    <w:rsid w:val="008D495B"/>
    <w:rsid w:val="008E0873"/>
    <w:rsid w:val="008E78F1"/>
    <w:rsid w:val="008F0C80"/>
    <w:rsid w:val="008F3C32"/>
    <w:rsid w:val="008F42A5"/>
    <w:rsid w:val="008F66ED"/>
    <w:rsid w:val="008F69C4"/>
    <w:rsid w:val="00900F3C"/>
    <w:rsid w:val="009029EB"/>
    <w:rsid w:val="00902C67"/>
    <w:rsid w:val="00907698"/>
    <w:rsid w:val="009118E0"/>
    <w:rsid w:val="00915208"/>
    <w:rsid w:val="00921955"/>
    <w:rsid w:val="00922670"/>
    <w:rsid w:val="0092279B"/>
    <w:rsid w:val="00924DB0"/>
    <w:rsid w:val="00925122"/>
    <w:rsid w:val="009432A2"/>
    <w:rsid w:val="0095338A"/>
    <w:rsid w:val="009564E4"/>
    <w:rsid w:val="00961E23"/>
    <w:rsid w:val="009704D5"/>
    <w:rsid w:val="00971026"/>
    <w:rsid w:val="009737C3"/>
    <w:rsid w:val="00974B85"/>
    <w:rsid w:val="00977151"/>
    <w:rsid w:val="0098104D"/>
    <w:rsid w:val="009858D8"/>
    <w:rsid w:val="0098768C"/>
    <w:rsid w:val="009901E0"/>
    <w:rsid w:val="00992A6F"/>
    <w:rsid w:val="00993EC1"/>
    <w:rsid w:val="0099633C"/>
    <w:rsid w:val="00996B32"/>
    <w:rsid w:val="009A0F7B"/>
    <w:rsid w:val="009A1654"/>
    <w:rsid w:val="009A3504"/>
    <w:rsid w:val="009A612A"/>
    <w:rsid w:val="009A737B"/>
    <w:rsid w:val="009C02BE"/>
    <w:rsid w:val="009C0D51"/>
    <w:rsid w:val="009C3068"/>
    <w:rsid w:val="009C4BDB"/>
    <w:rsid w:val="009C4FE1"/>
    <w:rsid w:val="009C6280"/>
    <w:rsid w:val="009C6C4F"/>
    <w:rsid w:val="009D27FC"/>
    <w:rsid w:val="009D40D9"/>
    <w:rsid w:val="009D64ED"/>
    <w:rsid w:val="009E05F5"/>
    <w:rsid w:val="009E1313"/>
    <w:rsid w:val="009E22A1"/>
    <w:rsid w:val="009E5785"/>
    <w:rsid w:val="009F3686"/>
    <w:rsid w:val="009F57D6"/>
    <w:rsid w:val="009F5AE3"/>
    <w:rsid w:val="00A01B4D"/>
    <w:rsid w:val="00A06880"/>
    <w:rsid w:val="00A17625"/>
    <w:rsid w:val="00A2172D"/>
    <w:rsid w:val="00A22CA2"/>
    <w:rsid w:val="00A279F0"/>
    <w:rsid w:val="00A31D4B"/>
    <w:rsid w:val="00A32A6C"/>
    <w:rsid w:val="00A349EA"/>
    <w:rsid w:val="00A424C8"/>
    <w:rsid w:val="00A45595"/>
    <w:rsid w:val="00A479AA"/>
    <w:rsid w:val="00A54520"/>
    <w:rsid w:val="00A56E6C"/>
    <w:rsid w:val="00A621CA"/>
    <w:rsid w:val="00A70B7F"/>
    <w:rsid w:val="00A71198"/>
    <w:rsid w:val="00A719EB"/>
    <w:rsid w:val="00A72C26"/>
    <w:rsid w:val="00A75B77"/>
    <w:rsid w:val="00A77376"/>
    <w:rsid w:val="00A773A0"/>
    <w:rsid w:val="00A8330B"/>
    <w:rsid w:val="00A83569"/>
    <w:rsid w:val="00A84116"/>
    <w:rsid w:val="00A850D7"/>
    <w:rsid w:val="00A905F0"/>
    <w:rsid w:val="00A91704"/>
    <w:rsid w:val="00A91D43"/>
    <w:rsid w:val="00A91EAB"/>
    <w:rsid w:val="00A93E8D"/>
    <w:rsid w:val="00AA2390"/>
    <w:rsid w:val="00AA3C9D"/>
    <w:rsid w:val="00AA4CE4"/>
    <w:rsid w:val="00AA7093"/>
    <w:rsid w:val="00AA719F"/>
    <w:rsid w:val="00AB0013"/>
    <w:rsid w:val="00AB200D"/>
    <w:rsid w:val="00AB2CE0"/>
    <w:rsid w:val="00AB51EB"/>
    <w:rsid w:val="00AB5511"/>
    <w:rsid w:val="00AB6555"/>
    <w:rsid w:val="00AB7370"/>
    <w:rsid w:val="00AC0503"/>
    <w:rsid w:val="00AC0508"/>
    <w:rsid w:val="00AD4681"/>
    <w:rsid w:val="00AE21A7"/>
    <w:rsid w:val="00AE62E0"/>
    <w:rsid w:val="00AF08BF"/>
    <w:rsid w:val="00AF6CFD"/>
    <w:rsid w:val="00AF724B"/>
    <w:rsid w:val="00AF7C44"/>
    <w:rsid w:val="00B0061E"/>
    <w:rsid w:val="00B03423"/>
    <w:rsid w:val="00B05143"/>
    <w:rsid w:val="00B053C1"/>
    <w:rsid w:val="00B129A0"/>
    <w:rsid w:val="00B12A15"/>
    <w:rsid w:val="00B208AF"/>
    <w:rsid w:val="00B20B50"/>
    <w:rsid w:val="00B22634"/>
    <w:rsid w:val="00B2264B"/>
    <w:rsid w:val="00B23798"/>
    <w:rsid w:val="00B3012D"/>
    <w:rsid w:val="00B32374"/>
    <w:rsid w:val="00B330C7"/>
    <w:rsid w:val="00B408F9"/>
    <w:rsid w:val="00B41C94"/>
    <w:rsid w:val="00B42DC5"/>
    <w:rsid w:val="00B460BC"/>
    <w:rsid w:val="00B5187B"/>
    <w:rsid w:val="00B530FC"/>
    <w:rsid w:val="00B53D9A"/>
    <w:rsid w:val="00B55E9A"/>
    <w:rsid w:val="00B57C75"/>
    <w:rsid w:val="00B60DF1"/>
    <w:rsid w:val="00B72341"/>
    <w:rsid w:val="00B74CAA"/>
    <w:rsid w:val="00B86ACA"/>
    <w:rsid w:val="00B908E3"/>
    <w:rsid w:val="00B923E8"/>
    <w:rsid w:val="00BA0522"/>
    <w:rsid w:val="00BA0E45"/>
    <w:rsid w:val="00BA14EA"/>
    <w:rsid w:val="00BA17B7"/>
    <w:rsid w:val="00BA56ED"/>
    <w:rsid w:val="00BA5C46"/>
    <w:rsid w:val="00BA5E9B"/>
    <w:rsid w:val="00BA6CD3"/>
    <w:rsid w:val="00BB0322"/>
    <w:rsid w:val="00BB0E64"/>
    <w:rsid w:val="00BB2E12"/>
    <w:rsid w:val="00BB4B07"/>
    <w:rsid w:val="00BB4BDF"/>
    <w:rsid w:val="00BB54BC"/>
    <w:rsid w:val="00BB7EE4"/>
    <w:rsid w:val="00BB7FF0"/>
    <w:rsid w:val="00BD0E51"/>
    <w:rsid w:val="00BD210B"/>
    <w:rsid w:val="00BD75A1"/>
    <w:rsid w:val="00BE227C"/>
    <w:rsid w:val="00BE272E"/>
    <w:rsid w:val="00BE3A03"/>
    <w:rsid w:val="00BE4DF2"/>
    <w:rsid w:val="00BF2BCB"/>
    <w:rsid w:val="00BF3C3A"/>
    <w:rsid w:val="00BF5BD7"/>
    <w:rsid w:val="00C02661"/>
    <w:rsid w:val="00C07B10"/>
    <w:rsid w:val="00C10CC7"/>
    <w:rsid w:val="00C120C8"/>
    <w:rsid w:val="00C13720"/>
    <w:rsid w:val="00C23394"/>
    <w:rsid w:val="00C333F9"/>
    <w:rsid w:val="00C3606B"/>
    <w:rsid w:val="00C524BF"/>
    <w:rsid w:val="00C53050"/>
    <w:rsid w:val="00C548E3"/>
    <w:rsid w:val="00C54F58"/>
    <w:rsid w:val="00C559C1"/>
    <w:rsid w:val="00C55CCC"/>
    <w:rsid w:val="00C560C0"/>
    <w:rsid w:val="00C57D52"/>
    <w:rsid w:val="00C6005B"/>
    <w:rsid w:val="00C60111"/>
    <w:rsid w:val="00C654B0"/>
    <w:rsid w:val="00C66858"/>
    <w:rsid w:val="00C67A45"/>
    <w:rsid w:val="00C75365"/>
    <w:rsid w:val="00C75E4D"/>
    <w:rsid w:val="00C76A87"/>
    <w:rsid w:val="00C77CBD"/>
    <w:rsid w:val="00C84E02"/>
    <w:rsid w:val="00C8523D"/>
    <w:rsid w:val="00C937AB"/>
    <w:rsid w:val="00C94232"/>
    <w:rsid w:val="00C95A64"/>
    <w:rsid w:val="00C96A58"/>
    <w:rsid w:val="00C96DA9"/>
    <w:rsid w:val="00CA095A"/>
    <w:rsid w:val="00CA540E"/>
    <w:rsid w:val="00CA5D91"/>
    <w:rsid w:val="00CA5F96"/>
    <w:rsid w:val="00CA6604"/>
    <w:rsid w:val="00CB0A89"/>
    <w:rsid w:val="00CB167E"/>
    <w:rsid w:val="00CB198A"/>
    <w:rsid w:val="00CB2F7C"/>
    <w:rsid w:val="00CB36A1"/>
    <w:rsid w:val="00CB7945"/>
    <w:rsid w:val="00CB7970"/>
    <w:rsid w:val="00CC18E4"/>
    <w:rsid w:val="00CC74DD"/>
    <w:rsid w:val="00CD5EBC"/>
    <w:rsid w:val="00CE48C6"/>
    <w:rsid w:val="00CE52D2"/>
    <w:rsid w:val="00CE62F9"/>
    <w:rsid w:val="00CE6D78"/>
    <w:rsid w:val="00CE70E5"/>
    <w:rsid w:val="00CF26C8"/>
    <w:rsid w:val="00CF4BEA"/>
    <w:rsid w:val="00CF6FB4"/>
    <w:rsid w:val="00D006F9"/>
    <w:rsid w:val="00D00DDB"/>
    <w:rsid w:val="00D01749"/>
    <w:rsid w:val="00D10D26"/>
    <w:rsid w:val="00D10F76"/>
    <w:rsid w:val="00D138FA"/>
    <w:rsid w:val="00D15902"/>
    <w:rsid w:val="00D234B6"/>
    <w:rsid w:val="00D27BF6"/>
    <w:rsid w:val="00D27E94"/>
    <w:rsid w:val="00D317D0"/>
    <w:rsid w:val="00D32F72"/>
    <w:rsid w:val="00D400CF"/>
    <w:rsid w:val="00D4397C"/>
    <w:rsid w:val="00D45126"/>
    <w:rsid w:val="00D46CAB"/>
    <w:rsid w:val="00D46D84"/>
    <w:rsid w:val="00D52050"/>
    <w:rsid w:val="00D54A99"/>
    <w:rsid w:val="00D56951"/>
    <w:rsid w:val="00D617D5"/>
    <w:rsid w:val="00D66EDC"/>
    <w:rsid w:val="00D722DD"/>
    <w:rsid w:val="00D77509"/>
    <w:rsid w:val="00D81245"/>
    <w:rsid w:val="00D8554E"/>
    <w:rsid w:val="00D85AB1"/>
    <w:rsid w:val="00D93FC5"/>
    <w:rsid w:val="00DA09DA"/>
    <w:rsid w:val="00DA0D1A"/>
    <w:rsid w:val="00DA2870"/>
    <w:rsid w:val="00DA3698"/>
    <w:rsid w:val="00DA4CAC"/>
    <w:rsid w:val="00DA5760"/>
    <w:rsid w:val="00DA6554"/>
    <w:rsid w:val="00DB177F"/>
    <w:rsid w:val="00DB5828"/>
    <w:rsid w:val="00DC3B07"/>
    <w:rsid w:val="00DC60CA"/>
    <w:rsid w:val="00DD30CF"/>
    <w:rsid w:val="00DD7C67"/>
    <w:rsid w:val="00DE0A11"/>
    <w:rsid w:val="00DE1953"/>
    <w:rsid w:val="00DE50E5"/>
    <w:rsid w:val="00DE6468"/>
    <w:rsid w:val="00DF0D5D"/>
    <w:rsid w:val="00DF3520"/>
    <w:rsid w:val="00DF4CD1"/>
    <w:rsid w:val="00DF55B2"/>
    <w:rsid w:val="00DF7363"/>
    <w:rsid w:val="00E0059D"/>
    <w:rsid w:val="00E00A61"/>
    <w:rsid w:val="00E03167"/>
    <w:rsid w:val="00E049B4"/>
    <w:rsid w:val="00E05268"/>
    <w:rsid w:val="00E1329F"/>
    <w:rsid w:val="00E1494C"/>
    <w:rsid w:val="00E149CE"/>
    <w:rsid w:val="00E17803"/>
    <w:rsid w:val="00E20392"/>
    <w:rsid w:val="00E20671"/>
    <w:rsid w:val="00E20675"/>
    <w:rsid w:val="00E2096D"/>
    <w:rsid w:val="00E22DDA"/>
    <w:rsid w:val="00E23028"/>
    <w:rsid w:val="00E2520D"/>
    <w:rsid w:val="00E275F1"/>
    <w:rsid w:val="00E302A9"/>
    <w:rsid w:val="00E324A0"/>
    <w:rsid w:val="00E32610"/>
    <w:rsid w:val="00E3520C"/>
    <w:rsid w:val="00E37C72"/>
    <w:rsid w:val="00E4524C"/>
    <w:rsid w:val="00E45754"/>
    <w:rsid w:val="00E56A6A"/>
    <w:rsid w:val="00E627D4"/>
    <w:rsid w:val="00E64900"/>
    <w:rsid w:val="00E71F4F"/>
    <w:rsid w:val="00E728DA"/>
    <w:rsid w:val="00E734F7"/>
    <w:rsid w:val="00E76BA4"/>
    <w:rsid w:val="00E774F3"/>
    <w:rsid w:val="00E77739"/>
    <w:rsid w:val="00E77DAF"/>
    <w:rsid w:val="00E822BE"/>
    <w:rsid w:val="00E82F87"/>
    <w:rsid w:val="00E85485"/>
    <w:rsid w:val="00E86FBB"/>
    <w:rsid w:val="00E90922"/>
    <w:rsid w:val="00E92F4F"/>
    <w:rsid w:val="00E94178"/>
    <w:rsid w:val="00E9632C"/>
    <w:rsid w:val="00EA1678"/>
    <w:rsid w:val="00EA1D4C"/>
    <w:rsid w:val="00EB23DC"/>
    <w:rsid w:val="00EB27EB"/>
    <w:rsid w:val="00EB28B2"/>
    <w:rsid w:val="00EC20F1"/>
    <w:rsid w:val="00EC28DA"/>
    <w:rsid w:val="00EC4D72"/>
    <w:rsid w:val="00EC6B14"/>
    <w:rsid w:val="00EC7AF6"/>
    <w:rsid w:val="00ED24D1"/>
    <w:rsid w:val="00ED2758"/>
    <w:rsid w:val="00ED4AB6"/>
    <w:rsid w:val="00ED6009"/>
    <w:rsid w:val="00ED720D"/>
    <w:rsid w:val="00EE442F"/>
    <w:rsid w:val="00EE5BE2"/>
    <w:rsid w:val="00EF72D5"/>
    <w:rsid w:val="00F0044C"/>
    <w:rsid w:val="00F00657"/>
    <w:rsid w:val="00F01AE2"/>
    <w:rsid w:val="00F04CAD"/>
    <w:rsid w:val="00F100C0"/>
    <w:rsid w:val="00F10357"/>
    <w:rsid w:val="00F12AB0"/>
    <w:rsid w:val="00F1448F"/>
    <w:rsid w:val="00F155BA"/>
    <w:rsid w:val="00F21BB6"/>
    <w:rsid w:val="00F24694"/>
    <w:rsid w:val="00F256BF"/>
    <w:rsid w:val="00F36231"/>
    <w:rsid w:val="00F40E4C"/>
    <w:rsid w:val="00F42E63"/>
    <w:rsid w:val="00F439AE"/>
    <w:rsid w:val="00F440AE"/>
    <w:rsid w:val="00F4427D"/>
    <w:rsid w:val="00F4579B"/>
    <w:rsid w:val="00F45878"/>
    <w:rsid w:val="00F50C67"/>
    <w:rsid w:val="00F557E4"/>
    <w:rsid w:val="00F5624F"/>
    <w:rsid w:val="00F622E0"/>
    <w:rsid w:val="00F713ED"/>
    <w:rsid w:val="00F74429"/>
    <w:rsid w:val="00F74E20"/>
    <w:rsid w:val="00F75A0E"/>
    <w:rsid w:val="00F82C7A"/>
    <w:rsid w:val="00F86AF1"/>
    <w:rsid w:val="00F87469"/>
    <w:rsid w:val="00F913E4"/>
    <w:rsid w:val="00F917B9"/>
    <w:rsid w:val="00F97C71"/>
    <w:rsid w:val="00FA3E40"/>
    <w:rsid w:val="00FA468C"/>
    <w:rsid w:val="00FA57E4"/>
    <w:rsid w:val="00FA6BBD"/>
    <w:rsid w:val="00FB2FA0"/>
    <w:rsid w:val="00FB4517"/>
    <w:rsid w:val="00FB468B"/>
    <w:rsid w:val="00FB53BA"/>
    <w:rsid w:val="00FC2C07"/>
    <w:rsid w:val="00FC3E06"/>
    <w:rsid w:val="00FC5D4C"/>
    <w:rsid w:val="00FD0344"/>
    <w:rsid w:val="00FD0F6A"/>
    <w:rsid w:val="00FD3B9B"/>
    <w:rsid w:val="00FD7790"/>
    <w:rsid w:val="00FE0E49"/>
    <w:rsid w:val="00FE6617"/>
    <w:rsid w:val="00FF2158"/>
    <w:rsid w:val="00FF4409"/>
    <w:rsid w:val="00FF4553"/>
    <w:rsid w:val="00FF6A82"/>
    <w:rsid w:val="00FF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paragraph" w:styleId="Heading3">
    <w:name w:val="heading 3"/>
    <w:basedOn w:val="Normal"/>
    <w:next w:val="Normal"/>
    <w:link w:val="Heading3Char"/>
    <w:semiHidden/>
    <w:unhideWhenUsed/>
    <w:qFormat/>
    <w:rsid w:val="00377B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uiPriority w:val="59"/>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C64F3"/>
    <w:rPr>
      <w:sz w:val="22"/>
      <w:szCs w:val="24"/>
    </w:rPr>
  </w:style>
  <w:style w:type="character" w:customStyle="1" w:styleId="Heading3Char">
    <w:name w:val="Heading 3 Char"/>
    <w:basedOn w:val="DefaultParagraphFont"/>
    <w:link w:val="Heading3"/>
    <w:semiHidden/>
    <w:rsid w:val="00377B19"/>
    <w:rPr>
      <w:rFonts w:asciiTheme="majorHAnsi" w:eastAsiaTheme="majorEastAsia" w:hAnsiTheme="majorHAnsi" w:cstheme="majorBidi"/>
      <w:b/>
      <w:bCs/>
      <w:color w:val="4F81BD" w:themeColor="accent1"/>
      <w:sz w:val="22"/>
      <w:szCs w:val="24"/>
    </w:rPr>
  </w:style>
  <w:style w:type="character" w:customStyle="1" w:styleId="purpleheader1">
    <w:name w:val="purpleheader1"/>
    <w:basedOn w:val="DefaultParagraphFont"/>
    <w:rsid w:val="00E627D4"/>
    <w:rPr>
      <w:rFonts w:ascii="Serifa-Lig" w:hAnsi="Serifa-Lig" w:hint="default"/>
      <w:b w:val="0"/>
      <w:bCs w:val="0"/>
      <w:color w:val="752864"/>
      <w:sz w:val="33"/>
      <w:szCs w:val="33"/>
    </w:rPr>
  </w:style>
  <w:style w:type="character" w:styleId="HTMLCite">
    <w:name w:val="HTML Cite"/>
    <w:basedOn w:val="DefaultParagraphFont"/>
    <w:uiPriority w:val="99"/>
    <w:unhideWhenUsed/>
    <w:rsid w:val="00CF4BEA"/>
    <w:rPr>
      <w:i/>
      <w:iCs/>
    </w:rPr>
  </w:style>
  <w:style w:type="paragraph" w:customStyle="1" w:styleId="Default">
    <w:name w:val="Default"/>
    <w:rsid w:val="006E1537"/>
    <w:pPr>
      <w:autoSpaceDE w:val="0"/>
      <w:autoSpaceDN w:val="0"/>
      <w:adjustRightInd w:val="0"/>
    </w:pPr>
    <w:rPr>
      <w:color w:val="000000"/>
      <w:sz w:val="24"/>
      <w:szCs w:val="24"/>
    </w:rPr>
  </w:style>
  <w:style w:type="character" w:styleId="FollowedHyperlink">
    <w:name w:val="FollowedHyperlink"/>
    <w:basedOn w:val="DefaultParagraphFont"/>
    <w:rsid w:val="00ED4AB6"/>
    <w:rPr>
      <w:color w:val="800080" w:themeColor="followedHyperlink"/>
      <w:u w:val="single"/>
    </w:rPr>
  </w:style>
  <w:style w:type="character" w:customStyle="1" w:styleId="A1">
    <w:name w:val="A1"/>
    <w:uiPriority w:val="99"/>
    <w:rsid w:val="00B41C94"/>
    <w:rPr>
      <w:rFonts w:cs="Weiss"/>
      <w:color w:val="211D1E"/>
      <w:sz w:val="20"/>
      <w:szCs w:val="20"/>
    </w:rPr>
  </w:style>
  <w:style w:type="paragraph" w:customStyle="1" w:styleId="Pa0">
    <w:name w:val="Pa0"/>
    <w:basedOn w:val="Default"/>
    <w:next w:val="Default"/>
    <w:uiPriority w:val="99"/>
    <w:rsid w:val="001D6F0D"/>
    <w:pPr>
      <w:spacing w:line="241" w:lineRule="atLeast"/>
    </w:pPr>
    <w:rPr>
      <w:rFonts w:ascii="Univers 57 Condensed" w:hAnsi="Univers 57 Condensed"/>
      <w:color w:val="auto"/>
    </w:rPr>
  </w:style>
  <w:style w:type="character" w:customStyle="1" w:styleId="A16">
    <w:name w:val="A16"/>
    <w:uiPriority w:val="99"/>
    <w:rsid w:val="001D6F0D"/>
    <w:rPr>
      <w:rFonts w:cs="Univers 57 Condensed"/>
      <w:color w:val="69C9CA"/>
      <w:sz w:val="44"/>
      <w:szCs w:val="44"/>
    </w:rPr>
  </w:style>
  <w:style w:type="paragraph" w:customStyle="1" w:styleId="Pa2">
    <w:name w:val="Pa2"/>
    <w:basedOn w:val="Default"/>
    <w:next w:val="Default"/>
    <w:uiPriority w:val="99"/>
    <w:rsid w:val="001D6F0D"/>
    <w:pPr>
      <w:spacing w:line="241" w:lineRule="atLeast"/>
    </w:pPr>
    <w:rPr>
      <w:rFonts w:ascii="Univers 57 Condensed" w:hAnsi="Univers 57 Condensed"/>
      <w:color w:val="auto"/>
    </w:rPr>
  </w:style>
  <w:style w:type="character" w:customStyle="1" w:styleId="A10">
    <w:name w:val="A10"/>
    <w:uiPriority w:val="99"/>
    <w:rsid w:val="001D6F0D"/>
    <w:rPr>
      <w:rFonts w:cs="Univers 55"/>
      <w:color w:val="211D1E"/>
      <w:sz w:val="26"/>
      <w:szCs w:val="26"/>
    </w:rPr>
  </w:style>
  <w:style w:type="character" w:customStyle="1" w:styleId="A4">
    <w:name w:val="A4"/>
    <w:uiPriority w:val="99"/>
    <w:rsid w:val="001D6F0D"/>
    <w:rPr>
      <w:rFonts w:cs="Univers 47 CondensedLight"/>
      <w:i/>
      <w:iCs/>
      <w:color w:val="A8AAAC"/>
      <w:sz w:val="16"/>
      <w:szCs w:val="16"/>
    </w:rPr>
  </w:style>
  <w:style w:type="character" w:customStyle="1" w:styleId="A14">
    <w:name w:val="A14"/>
    <w:uiPriority w:val="99"/>
    <w:rsid w:val="001D6F0D"/>
    <w:rPr>
      <w:rFonts w:cs="Univers 55"/>
      <w:color w:val="211D1E"/>
      <w:sz w:val="31"/>
      <w:szCs w:val="31"/>
    </w:rPr>
  </w:style>
  <w:style w:type="character" w:customStyle="1" w:styleId="A6">
    <w:name w:val="A6"/>
    <w:uiPriority w:val="99"/>
    <w:rsid w:val="000E0F85"/>
    <w:rPr>
      <w:rFonts w:cs="Weiss"/>
      <w:color w:val="808284"/>
      <w:sz w:val="18"/>
      <w:szCs w:val="18"/>
    </w:rPr>
  </w:style>
  <w:style w:type="character" w:customStyle="1" w:styleId="st1">
    <w:name w:val="st1"/>
    <w:basedOn w:val="DefaultParagraphFont"/>
    <w:rsid w:val="00FC5D4C"/>
  </w:style>
  <w:style w:type="paragraph" w:styleId="Revision">
    <w:name w:val="Revision"/>
    <w:hidden/>
    <w:uiPriority w:val="99"/>
    <w:semiHidden/>
    <w:rsid w:val="00162FA3"/>
    <w:rPr>
      <w:sz w:val="22"/>
      <w:szCs w:val="24"/>
    </w:rPr>
  </w:style>
  <w:style w:type="character" w:customStyle="1" w:styleId="A5">
    <w:name w:val="A5"/>
    <w:uiPriority w:val="99"/>
    <w:rsid w:val="00642858"/>
    <w:rPr>
      <w:rFonts w:cs="Neutra Display Medium"/>
      <w:b/>
      <w:bCs/>
      <w:color w:val="FFFFFF"/>
      <w:sz w:val="30"/>
      <w:szCs w:val="30"/>
    </w:rPr>
  </w:style>
  <w:style w:type="paragraph" w:customStyle="1" w:styleId="Pa1">
    <w:name w:val="Pa1"/>
    <w:basedOn w:val="Default"/>
    <w:next w:val="Default"/>
    <w:uiPriority w:val="99"/>
    <w:rsid w:val="00642858"/>
    <w:pPr>
      <w:spacing w:line="221" w:lineRule="atLeast"/>
    </w:pPr>
    <w:rPr>
      <w:rFonts w:ascii="Neutra Text Book" w:hAnsi="Neutra Text Book"/>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paragraph" w:styleId="Heading3">
    <w:name w:val="heading 3"/>
    <w:basedOn w:val="Normal"/>
    <w:next w:val="Normal"/>
    <w:link w:val="Heading3Char"/>
    <w:semiHidden/>
    <w:unhideWhenUsed/>
    <w:qFormat/>
    <w:rsid w:val="00377B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uiPriority w:val="59"/>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C64F3"/>
    <w:rPr>
      <w:sz w:val="22"/>
      <w:szCs w:val="24"/>
    </w:rPr>
  </w:style>
  <w:style w:type="character" w:customStyle="1" w:styleId="Heading3Char">
    <w:name w:val="Heading 3 Char"/>
    <w:basedOn w:val="DefaultParagraphFont"/>
    <w:link w:val="Heading3"/>
    <w:semiHidden/>
    <w:rsid w:val="00377B19"/>
    <w:rPr>
      <w:rFonts w:asciiTheme="majorHAnsi" w:eastAsiaTheme="majorEastAsia" w:hAnsiTheme="majorHAnsi" w:cstheme="majorBidi"/>
      <w:b/>
      <w:bCs/>
      <w:color w:val="4F81BD" w:themeColor="accent1"/>
      <w:sz w:val="22"/>
      <w:szCs w:val="24"/>
    </w:rPr>
  </w:style>
  <w:style w:type="character" w:customStyle="1" w:styleId="purpleheader1">
    <w:name w:val="purpleheader1"/>
    <w:basedOn w:val="DefaultParagraphFont"/>
    <w:rsid w:val="00E627D4"/>
    <w:rPr>
      <w:rFonts w:ascii="Serifa-Lig" w:hAnsi="Serifa-Lig" w:hint="default"/>
      <w:b w:val="0"/>
      <w:bCs w:val="0"/>
      <w:color w:val="752864"/>
      <w:sz w:val="33"/>
      <w:szCs w:val="33"/>
    </w:rPr>
  </w:style>
  <w:style w:type="character" w:styleId="HTMLCite">
    <w:name w:val="HTML Cite"/>
    <w:basedOn w:val="DefaultParagraphFont"/>
    <w:uiPriority w:val="99"/>
    <w:unhideWhenUsed/>
    <w:rsid w:val="00CF4BEA"/>
    <w:rPr>
      <w:i/>
      <w:iCs/>
    </w:rPr>
  </w:style>
  <w:style w:type="paragraph" w:customStyle="1" w:styleId="Default">
    <w:name w:val="Default"/>
    <w:rsid w:val="006E1537"/>
    <w:pPr>
      <w:autoSpaceDE w:val="0"/>
      <w:autoSpaceDN w:val="0"/>
      <w:adjustRightInd w:val="0"/>
    </w:pPr>
    <w:rPr>
      <w:color w:val="000000"/>
      <w:sz w:val="24"/>
      <w:szCs w:val="24"/>
    </w:rPr>
  </w:style>
  <w:style w:type="character" w:styleId="FollowedHyperlink">
    <w:name w:val="FollowedHyperlink"/>
    <w:basedOn w:val="DefaultParagraphFont"/>
    <w:rsid w:val="00ED4AB6"/>
    <w:rPr>
      <w:color w:val="800080" w:themeColor="followedHyperlink"/>
      <w:u w:val="single"/>
    </w:rPr>
  </w:style>
  <w:style w:type="character" w:customStyle="1" w:styleId="A1">
    <w:name w:val="A1"/>
    <w:uiPriority w:val="99"/>
    <w:rsid w:val="00B41C94"/>
    <w:rPr>
      <w:rFonts w:cs="Weiss"/>
      <w:color w:val="211D1E"/>
      <w:sz w:val="20"/>
      <w:szCs w:val="20"/>
    </w:rPr>
  </w:style>
  <w:style w:type="paragraph" w:customStyle="1" w:styleId="Pa0">
    <w:name w:val="Pa0"/>
    <w:basedOn w:val="Default"/>
    <w:next w:val="Default"/>
    <w:uiPriority w:val="99"/>
    <w:rsid w:val="001D6F0D"/>
    <w:pPr>
      <w:spacing w:line="241" w:lineRule="atLeast"/>
    </w:pPr>
    <w:rPr>
      <w:rFonts w:ascii="Univers 57 Condensed" w:hAnsi="Univers 57 Condensed"/>
      <w:color w:val="auto"/>
    </w:rPr>
  </w:style>
  <w:style w:type="character" w:customStyle="1" w:styleId="A16">
    <w:name w:val="A16"/>
    <w:uiPriority w:val="99"/>
    <w:rsid w:val="001D6F0D"/>
    <w:rPr>
      <w:rFonts w:cs="Univers 57 Condensed"/>
      <w:color w:val="69C9CA"/>
      <w:sz w:val="44"/>
      <w:szCs w:val="44"/>
    </w:rPr>
  </w:style>
  <w:style w:type="paragraph" w:customStyle="1" w:styleId="Pa2">
    <w:name w:val="Pa2"/>
    <w:basedOn w:val="Default"/>
    <w:next w:val="Default"/>
    <w:uiPriority w:val="99"/>
    <w:rsid w:val="001D6F0D"/>
    <w:pPr>
      <w:spacing w:line="241" w:lineRule="atLeast"/>
    </w:pPr>
    <w:rPr>
      <w:rFonts w:ascii="Univers 57 Condensed" w:hAnsi="Univers 57 Condensed"/>
      <w:color w:val="auto"/>
    </w:rPr>
  </w:style>
  <w:style w:type="character" w:customStyle="1" w:styleId="A10">
    <w:name w:val="A10"/>
    <w:uiPriority w:val="99"/>
    <w:rsid w:val="001D6F0D"/>
    <w:rPr>
      <w:rFonts w:cs="Univers 55"/>
      <w:color w:val="211D1E"/>
      <w:sz w:val="26"/>
      <w:szCs w:val="26"/>
    </w:rPr>
  </w:style>
  <w:style w:type="character" w:customStyle="1" w:styleId="A4">
    <w:name w:val="A4"/>
    <w:uiPriority w:val="99"/>
    <w:rsid w:val="001D6F0D"/>
    <w:rPr>
      <w:rFonts w:cs="Univers 47 CondensedLight"/>
      <w:i/>
      <w:iCs/>
      <w:color w:val="A8AAAC"/>
      <w:sz w:val="16"/>
      <w:szCs w:val="16"/>
    </w:rPr>
  </w:style>
  <w:style w:type="character" w:customStyle="1" w:styleId="A14">
    <w:name w:val="A14"/>
    <w:uiPriority w:val="99"/>
    <w:rsid w:val="001D6F0D"/>
    <w:rPr>
      <w:rFonts w:cs="Univers 55"/>
      <w:color w:val="211D1E"/>
      <w:sz w:val="31"/>
      <w:szCs w:val="31"/>
    </w:rPr>
  </w:style>
  <w:style w:type="character" w:customStyle="1" w:styleId="A6">
    <w:name w:val="A6"/>
    <w:uiPriority w:val="99"/>
    <w:rsid w:val="000E0F85"/>
    <w:rPr>
      <w:rFonts w:cs="Weiss"/>
      <w:color w:val="808284"/>
      <w:sz w:val="18"/>
      <w:szCs w:val="18"/>
    </w:rPr>
  </w:style>
  <w:style w:type="character" w:customStyle="1" w:styleId="st1">
    <w:name w:val="st1"/>
    <w:basedOn w:val="DefaultParagraphFont"/>
    <w:rsid w:val="00FC5D4C"/>
  </w:style>
  <w:style w:type="paragraph" w:styleId="Revision">
    <w:name w:val="Revision"/>
    <w:hidden/>
    <w:uiPriority w:val="99"/>
    <w:semiHidden/>
    <w:rsid w:val="00162FA3"/>
    <w:rPr>
      <w:sz w:val="22"/>
      <w:szCs w:val="24"/>
    </w:rPr>
  </w:style>
  <w:style w:type="character" w:customStyle="1" w:styleId="A5">
    <w:name w:val="A5"/>
    <w:uiPriority w:val="99"/>
    <w:rsid w:val="00642858"/>
    <w:rPr>
      <w:rFonts w:cs="Neutra Display Medium"/>
      <w:b/>
      <w:bCs/>
      <w:color w:val="FFFFFF"/>
      <w:sz w:val="30"/>
      <w:szCs w:val="30"/>
    </w:rPr>
  </w:style>
  <w:style w:type="paragraph" w:customStyle="1" w:styleId="Pa1">
    <w:name w:val="Pa1"/>
    <w:basedOn w:val="Default"/>
    <w:next w:val="Default"/>
    <w:uiPriority w:val="99"/>
    <w:rsid w:val="00642858"/>
    <w:pPr>
      <w:spacing w:line="221" w:lineRule="atLeast"/>
    </w:pPr>
    <w:rPr>
      <w:rFonts w:ascii="Neutra Text Book" w:hAnsi="Neutra Text Book"/>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6552">
      <w:bodyDiv w:val="1"/>
      <w:marLeft w:val="0"/>
      <w:marRight w:val="0"/>
      <w:marTop w:val="0"/>
      <w:marBottom w:val="0"/>
      <w:divBdr>
        <w:top w:val="none" w:sz="0" w:space="0" w:color="auto"/>
        <w:left w:val="none" w:sz="0" w:space="0" w:color="auto"/>
        <w:bottom w:val="none" w:sz="0" w:space="0" w:color="auto"/>
        <w:right w:val="none" w:sz="0" w:space="0" w:color="auto"/>
      </w:divBdr>
    </w:div>
    <w:div w:id="118690092">
      <w:bodyDiv w:val="1"/>
      <w:marLeft w:val="0"/>
      <w:marRight w:val="0"/>
      <w:marTop w:val="0"/>
      <w:marBottom w:val="0"/>
      <w:divBdr>
        <w:top w:val="none" w:sz="0" w:space="0" w:color="auto"/>
        <w:left w:val="none" w:sz="0" w:space="0" w:color="auto"/>
        <w:bottom w:val="none" w:sz="0" w:space="0" w:color="auto"/>
        <w:right w:val="none" w:sz="0" w:space="0" w:color="auto"/>
      </w:divBdr>
    </w:div>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237179965">
      <w:bodyDiv w:val="1"/>
      <w:marLeft w:val="0"/>
      <w:marRight w:val="0"/>
      <w:marTop w:val="0"/>
      <w:marBottom w:val="0"/>
      <w:divBdr>
        <w:top w:val="none" w:sz="0" w:space="0" w:color="auto"/>
        <w:left w:val="none" w:sz="0" w:space="0" w:color="auto"/>
        <w:bottom w:val="none" w:sz="0" w:space="0" w:color="auto"/>
        <w:right w:val="none" w:sz="0" w:space="0" w:color="auto"/>
      </w:divBdr>
    </w:div>
    <w:div w:id="272637979">
      <w:bodyDiv w:val="1"/>
      <w:marLeft w:val="0"/>
      <w:marRight w:val="0"/>
      <w:marTop w:val="0"/>
      <w:marBottom w:val="0"/>
      <w:divBdr>
        <w:top w:val="none" w:sz="0" w:space="0" w:color="auto"/>
        <w:left w:val="none" w:sz="0" w:space="0" w:color="auto"/>
        <w:bottom w:val="none" w:sz="0" w:space="0" w:color="auto"/>
        <w:right w:val="none" w:sz="0" w:space="0" w:color="auto"/>
      </w:divBdr>
    </w:div>
    <w:div w:id="291327226">
      <w:bodyDiv w:val="1"/>
      <w:marLeft w:val="0"/>
      <w:marRight w:val="0"/>
      <w:marTop w:val="0"/>
      <w:marBottom w:val="0"/>
      <w:divBdr>
        <w:top w:val="none" w:sz="0" w:space="0" w:color="auto"/>
        <w:left w:val="none" w:sz="0" w:space="0" w:color="auto"/>
        <w:bottom w:val="none" w:sz="0" w:space="0" w:color="auto"/>
        <w:right w:val="none" w:sz="0" w:space="0" w:color="auto"/>
      </w:divBdr>
      <w:divsChild>
        <w:div w:id="486364526">
          <w:marLeft w:val="1166"/>
          <w:marRight w:val="0"/>
          <w:marTop w:val="106"/>
          <w:marBottom w:val="0"/>
          <w:divBdr>
            <w:top w:val="none" w:sz="0" w:space="0" w:color="auto"/>
            <w:left w:val="none" w:sz="0" w:space="0" w:color="auto"/>
            <w:bottom w:val="none" w:sz="0" w:space="0" w:color="auto"/>
            <w:right w:val="none" w:sz="0" w:space="0" w:color="auto"/>
          </w:divBdr>
        </w:div>
        <w:div w:id="1525561625">
          <w:marLeft w:val="1166"/>
          <w:marRight w:val="0"/>
          <w:marTop w:val="106"/>
          <w:marBottom w:val="0"/>
          <w:divBdr>
            <w:top w:val="none" w:sz="0" w:space="0" w:color="auto"/>
            <w:left w:val="none" w:sz="0" w:space="0" w:color="auto"/>
            <w:bottom w:val="none" w:sz="0" w:space="0" w:color="auto"/>
            <w:right w:val="none" w:sz="0" w:space="0" w:color="auto"/>
          </w:divBdr>
        </w:div>
      </w:divsChild>
    </w:div>
    <w:div w:id="401103991">
      <w:bodyDiv w:val="1"/>
      <w:marLeft w:val="0"/>
      <w:marRight w:val="0"/>
      <w:marTop w:val="0"/>
      <w:marBottom w:val="0"/>
      <w:divBdr>
        <w:top w:val="none" w:sz="0" w:space="0" w:color="auto"/>
        <w:left w:val="none" w:sz="0" w:space="0" w:color="auto"/>
        <w:bottom w:val="none" w:sz="0" w:space="0" w:color="auto"/>
        <w:right w:val="none" w:sz="0" w:space="0" w:color="auto"/>
      </w:divBdr>
    </w:div>
    <w:div w:id="415832540">
      <w:bodyDiv w:val="1"/>
      <w:marLeft w:val="0"/>
      <w:marRight w:val="0"/>
      <w:marTop w:val="0"/>
      <w:marBottom w:val="0"/>
      <w:divBdr>
        <w:top w:val="none" w:sz="0" w:space="0" w:color="auto"/>
        <w:left w:val="none" w:sz="0" w:space="0" w:color="auto"/>
        <w:bottom w:val="none" w:sz="0" w:space="0" w:color="auto"/>
        <w:right w:val="none" w:sz="0" w:space="0" w:color="auto"/>
      </w:divBdr>
      <w:divsChild>
        <w:div w:id="700590077">
          <w:marLeft w:val="1166"/>
          <w:marRight w:val="0"/>
          <w:marTop w:val="115"/>
          <w:marBottom w:val="0"/>
          <w:divBdr>
            <w:top w:val="none" w:sz="0" w:space="0" w:color="auto"/>
            <w:left w:val="none" w:sz="0" w:space="0" w:color="auto"/>
            <w:bottom w:val="none" w:sz="0" w:space="0" w:color="auto"/>
            <w:right w:val="none" w:sz="0" w:space="0" w:color="auto"/>
          </w:divBdr>
        </w:div>
      </w:divsChild>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59054237">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08857">
      <w:bodyDiv w:val="1"/>
      <w:marLeft w:val="0"/>
      <w:marRight w:val="0"/>
      <w:marTop w:val="0"/>
      <w:marBottom w:val="0"/>
      <w:divBdr>
        <w:top w:val="none" w:sz="0" w:space="0" w:color="auto"/>
        <w:left w:val="none" w:sz="0" w:space="0" w:color="auto"/>
        <w:bottom w:val="none" w:sz="0" w:space="0" w:color="auto"/>
        <w:right w:val="none" w:sz="0" w:space="0" w:color="auto"/>
      </w:divBdr>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704255609">
      <w:bodyDiv w:val="1"/>
      <w:marLeft w:val="0"/>
      <w:marRight w:val="0"/>
      <w:marTop w:val="0"/>
      <w:marBottom w:val="0"/>
      <w:divBdr>
        <w:top w:val="none" w:sz="0" w:space="0" w:color="auto"/>
        <w:left w:val="none" w:sz="0" w:space="0" w:color="auto"/>
        <w:bottom w:val="none" w:sz="0" w:space="0" w:color="auto"/>
        <w:right w:val="none" w:sz="0" w:space="0" w:color="auto"/>
      </w:divBdr>
    </w:div>
    <w:div w:id="713889815">
      <w:bodyDiv w:val="1"/>
      <w:marLeft w:val="0"/>
      <w:marRight w:val="0"/>
      <w:marTop w:val="0"/>
      <w:marBottom w:val="0"/>
      <w:divBdr>
        <w:top w:val="none" w:sz="0" w:space="0" w:color="auto"/>
        <w:left w:val="none" w:sz="0" w:space="0" w:color="auto"/>
        <w:bottom w:val="none" w:sz="0" w:space="0" w:color="auto"/>
        <w:right w:val="none" w:sz="0" w:space="0" w:color="auto"/>
      </w:divBdr>
      <w:divsChild>
        <w:div w:id="2057464707">
          <w:marLeft w:val="0"/>
          <w:marRight w:val="0"/>
          <w:marTop w:val="0"/>
          <w:marBottom w:val="0"/>
          <w:divBdr>
            <w:top w:val="none" w:sz="0" w:space="0" w:color="auto"/>
            <w:left w:val="none" w:sz="0" w:space="0" w:color="auto"/>
            <w:bottom w:val="none" w:sz="0" w:space="0" w:color="auto"/>
            <w:right w:val="none" w:sz="0" w:space="0" w:color="auto"/>
          </w:divBdr>
          <w:divsChild>
            <w:div w:id="700589866">
              <w:marLeft w:val="0"/>
              <w:marRight w:val="0"/>
              <w:marTop w:val="0"/>
              <w:marBottom w:val="0"/>
              <w:divBdr>
                <w:top w:val="none" w:sz="0" w:space="0" w:color="auto"/>
                <w:left w:val="none" w:sz="0" w:space="0" w:color="auto"/>
                <w:bottom w:val="none" w:sz="0" w:space="0" w:color="auto"/>
                <w:right w:val="none" w:sz="0" w:space="0" w:color="auto"/>
              </w:divBdr>
              <w:divsChild>
                <w:div w:id="1741752301">
                  <w:marLeft w:val="0"/>
                  <w:marRight w:val="0"/>
                  <w:marTop w:val="0"/>
                  <w:marBottom w:val="0"/>
                  <w:divBdr>
                    <w:top w:val="none" w:sz="0" w:space="0" w:color="auto"/>
                    <w:left w:val="none" w:sz="0" w:space="0" w:color="auto"/>
                    <w:bottom w:val="none" w:sz="0" w:space="0" w:color="auto"/>
                    <w:right w:val="none" w:sz="0" w:space="0" w:color="auto"/>
                  </w:divBdr>
                  <w:divsChild>
                    <w:div w:id="325322265">
                      <w:marLeft w:val="0"/>
                      <w:marRight w:val="0"/>
                      <w:marTop w:val="0"/>
                      <w:marBottom w:val="0"/>
                      <w:divBdr>
                        <w:top w:val="none" w:sz="0" w:space="0" w:color="auto"/>
                        <w:left w:val="none" w:sz="0" w:space="0" w:color="auto"/>
                        <w:bottom w:val="none" w:sz="0" w:space="0" w:color="auto"/>
                        <w:right w:val="none" w:sz="0" w:space="0" w:color="auto"/>
                      </w:divBdr>
                      <w:divsChild>
                        <w:div w:id="13632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512839">
      <w:bodyDiv w:val="1"/>
      <w:marLeft w:val="0"/>
      <w:marRight w:val="0"/>
      <w:marTop w:val="0"/>
      <w:marBottom w:val="0"/>
      <w:divBdr>
        <w:top w:val="none" w:sz="0" w:space="0" w:color="auto"/>
        <w:left w:val="none" w:sz="0" w:space="0" w:color="auto"/>
        <w:bottom w:val="none" w:sz="0" w:space="0" w:color="auto"/>
        <w:right w:val="none" w:sz="0" w:space="0" w:color="auto"/>
      </w:divBdr>
    </w:div>
    <w:div w:id="887960347">
      <w:bodyDiv w:val="1"/>
      <w:marLeft w:val="390"/>
      <w:marRight w:val="390"/>
      <w:marTop w:val="0"/>
      <w:marBottom w:val="0"/>
      <w:divBdr>
        <w:top w:val="none" w:sz="0" w:space="0" w:color="auto"/>
        <w:left w:val="none" w:sz="0" w:space="0" w:color="auto"/>
        <w:bottom w:val="none" w:sz="0" w:space="0" w:color="auto"/>
        <w:right w:val="none" w:sz="0" w:space="0" w:color="auto"/>
      </w:divBdr>
      <w:divsChild>
        <w:div w:id="1854952815">
          <w:marLeft w:val="0"/>
          <w:marRight w:val="0"/>
          <w:marTop w:val="0"/>
          <w:marBottom w:val="0"/>
          <w:divBdr>
            <w:top w:val="none" w:sz="0" w:space="0" w:color="auto"/>
            <w:left w:val="none" w:sz="0" w:space="0" w:color="auto"/>
            <w:bottom w:val="none" w:sz="0" w:space="0" w:color="auto"/>
            <w:right w:val="none" w:sz="0" w:space="0" w:color="auto"/>
          </w:divBdr>
          <w:divsChild>
            <w:div w:id="1712609005">
              <w:marLeft w:val="0"/>
              <w:marRight w:val="0"/>
              <w:marTop w:val="0"/>
              <w:marBottom w:val="0"/>
              <w:divBdr>
                <w:top w:val="none" w:sz="0" w:space="0" w:color="auto"/>
                <w:left w:val="none" w:sz="0" w:space="0" w:color="auto"/>
                <w:bottom w:val="none" w:sz="0" w:space="0" w:color="auto"/>
                <w:right w:val="none" w:sz="0" w:space="0" w:color="auto"/>
              </w:divBdr>
              <w:divsChild>
                <w:div w:id="119806434">
                  <w:marLeft w:val="0"/>
                  <w:marRight w:val="0"/>
                  <w:marTop w:val="0"/>
                  <w:marBottom w:val="150"/>
                  <w:divBdr>
                    <w:top w:val="single" w:sz="12" w:space="4" w:color="004080"/>
                    <w:left w:val="single" w:sz="12" w:space="0" w:color="004080"/>
                    <w:bottom w:val="single" w:sz="12" w:space="4" w:color="004080"/>
                    <w:right w:val="single" w:sz="12" w:space="0" w:color="004080"/>
                  </w:divBdr>
                  <w:divsChild>
                    <w:div w:id="698090069">
                      <w:marLeft w:val="225"/>
                      <w:marRight w:val="270"/>
                      <w:marTop w:val="0"/>
                      <w:marBottom w:val="0"/>
                      <w:divBdr>
                        <w:top w:val="none" w:sz="0" w:space="0" w:color="auto"/>
                        <w:left w:val="none" w:sz="0" w:space="0" w:color="auto"/>
                        <w:bottom w:val="none" w:sz="0" w:space="0" w:color="auto"/>
                        <w:right w:val="none" w:sz="0" w:space="0" w:color="auto"/>
                      </w:divBdr>
                      <w:divsChild>
                        <w:div w:id="10920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354217">
      <w:bodyDiv w:val="1"/>
      <w:marLeft w:val="0"/>
      <w:marRight w:val="0"/>
      <w:marTop w:val="0"/>
      <w:marBottom w:val="0"/>
      <w:divBdr>
        <w:top w:val="none" w:sz="0" w:space="0" w:color="auto"/>
        <w:left w:val="none" w:sz="0" w:space="0" w:color="auto"/>
        <w:bottom w:val="none" w:sz="0" w:space="0" w:color="auto"/>
        <w:right w:val="none" w:sz="0" w:space="0" w:color="auto"/>
      </w:divBdr>
    </w:div>
    <w:div w:id="982779073">
      <w:bodyDiv w:val="1"/>
      <w:marLeft w:val="0"/>
      <w:marRight w:val="0"/>
      <w:marTop w:val="0"/>
      <w:marBottom w:val="0"/>
      <w:divBdr>
        <w:top w:val="none" w:sz="0" w:space="0" w:color="auto"/>
        <w:left w:val="none" w:sz="0" w:space="0" w:color="auto"/>
        <w:bottom w:val="none" w:sz="0" w:space="0" w:color="auto"/>
        <w:right w:val="none" w:sz="0" w:space="0" w:color="auto"/>
      </w:divBdr>
      <w:divsChild>
        <w:div w:id="1445997562">
          <w:marLeft w:val="1166"/>
          <w:marRight w:val="0"/>
          <w:marTop w:val="96"/>
          <w:marBottom w:val="0"/>
          <w:divBdr>
            <w:top w:val="none" w:sz="0" w:space="0" w:color="auto"/>
            <w:left w:val="none" w:sz="0" w:space="0" w:color="auto"/>
            <w:bottom w:val="none" w:sz="0" w:space="0" w:color="auto"/>
            <w:right w:val="none" w:sz="0" w:space="0" w:color="auto"/>
          </w:divBdr>
        </w:div>
      </w:divsChild>
    </w:div>
    <w:div w:id="1013842728">
      <w:bodyDiv w:val="1"/>
      <w:marLeft w:val="0"/>
      <w:marRight w:val="0"/>
      <w:marTop w:val="0"/>
      <w:marBottom w:val="0"/>
      <w:divBdr>
        <w:top w:val="none" w:sz="0" w:space="0" w:color="auto"/>
        <w:left w:val="none" w:sz="0" w:space="0" w:color="auto"/>
        <w:bottom w:val="none" w:sz="0" w:space="0" w:color="auto"/>
        <w:right w:val="none" w:sz="0" w:space="0" w:color="auto"/>
      </w:divBdr>
      <w:divsChild>
        <w:div w:id="747582958">
          <w:marLeft w:val="547"/>
          <w:marRight w:val="0"/>
          <w:marTop w:val="144"/>
          <w:marBottom w:val="0"/>
          <w:divBdr>
            <w:top w:val="none" w:sz="0" w:space="0" w:color="auto"/>
            <w:left w:val="none" w:sz="0" w:space="0" w:color="auto"/>
            <w:bottom w:val="none" w:sz="0" w:space="0" w:color="auto"/>
            <w:right w:val="none" w:sz="0" w:space="0" w:color="auto"/>
          </w:divBdr>
        </w:div>
        <w:div w:id="2112892114">
          <w:marLeft w:val="547"/>
          <w:marRight w:val="0"/>
          <w:marTop w:val="144"/>
          <w:marBottom w:val="0"/>
          <w:divBdr>
            <w:top w:val="none" w:sz="0" w:space="0" w:color="auto"/>
            <w:left w:val="none" w:sz="0" w:space="0" w:color="auto"/>
            <w:bottom w:val="none" w:sz="0" w:space="0" w:color="auto"/>
            <w:right w:val="none" w:sz="0" w:space="0" w:color="auto"/>
          </w:divBdr>
        </w:div>
        <w:div w:id="102696344">
          <w:marLeft w:val="547"/>
          <w:marRight w:val="0"/>
          <w:marTop w:val="144"/>
          <w:marBottom w:val="0"/>
          <w:divBdr>
            <w:top w:val="none" w:sz="0" w:space="0" w:color="auto"/>
            <w:left w:val="none" w:sz="0" w:space="0" w:color="auto"/>
            <w:bottom w:val="none" w:sz="0" w:space="0" w:color="auto"/>
            <w:right w:val="none" w:sz="0" w:space="0" w:color="auto"/>
          </w:divBdr>
        </w:div>
        <w:div w:id="375860722">
          <w:marLeft w:val="547"/>
          <w:marRight w:val="0"/>
          <w:marTop w:val="144"/>
          <w:marBottom w:val="0"/>
          <w:divBdr>
            <w:top w:val="none" w:sz="0" w:space="0" w:color="auto"/>
            <w:left w:val="none" w:sz="0" w:space="0" w:color="auto"/>
            <w:bottom w:val="none" w:sz="0" w:space="0" w:color="auto"/>
            <w:right w:val="none" w:sz="0" w:space="0" w:color="auto"/>
          </w:divBdr>
        </w:div>
      </w:divsChild>
    </w:div>
    <w:div w:id="1094058212">
      <w:bodyDiv w:val="1"/>
      <w:marLeft w:val="0"/>
      <w:marRight w:val="0"/>
      <w:marTop w:val="0"/>
      <w:marBottom w:val="0"/>
      <w:divBdr>
        <w:top w:val="none" w:sz="0" w:space="0" w:color="auto"/>
        <w:left w:val="none" w:sz="0" w:space="0" w:color="auto"/>
        <w:bottom w:val="none" w:sz="0" w:space="0" w:color="auto"/>
        <w:right w:val="none" w:sz="0" w:space="0" w:color="auto"/>
      </w:divBdr>
    </w:div>
    <w:div w:id="1120028078">
      <w:bodyDiv w:val="1"/>
      <w:marLeft w:val="0"/>
      <w:marRight w:val="0"/>
      <w:marTop w:val="0"/>
      <w:marBottom w:val="0"/>
      <w:divBdr>
        <w:top w:val="none" w:sz="0" w:space="0" w:color="auto"/>
        <w:left w:val="none" w:sz="0" w:space="0" w:color="auto"/>
        <w:bottom w:val="none" w:sz="0" w:space="0" w:color="auto"/>
        <w:right w:val="none" w:sz="0" w:space="0" w:color="auto"/>
      </w:divBdr>
    </w:div>
    <w:div w:id="1204363516">
      <w:bodyDiv w:val="1"/>
      <w:marLeft w:val="0"/>
      <w:marRight w:val="0"/>
      <w:marTop w:val="0"/>
      <w:marBottom w:val="0"/>
      <w:divBdr>
        <w:top w:val="none" w:sz="0" w:space="0" w:color="auto"/>
        <w:left w:val="none" w:sz="0" w:space="0" w:color="auto"/>
        <w:bottom w:val="none" w:sz="0" w:space="0" w:color="auto"/>
        <w:right w:val="none" w:sz="0" w:space="0" w:color="auto"/>
      </w:divBdr>
    </w:div>
    <w:div w:id="1262449746">
      <w:bodyDiv w:val="1"/>
      <w:marLeft w:val="0"/>
      <w:marRight w:val="0"/>
      <w:marTop w:val="0"/>
      <w:marBottom w:val="0"/>
      <w:divBdr>
        <w:top w:val="none" w:sz="0" w:space="0" w:color="auto"/>
        <w:left w:val="none" w:sz="0" w:space="0" w:color="auto"/>
        <w:bottom w:val="none" w:sz="0" w:space="0" w:color="auto"/>
        <w:right w:val="none" w:sz="0" w:space="0" w:color="auto"/>
      </w:divBdr>
    </w:div>
    <w:div w:id="1348215106">
      <w:bodyDiv w:val="1"/>
      <w:marLeft w:val="0"/>
      <w:marRight w:val="0"/>
      <w:marTop w:val="0"/>
      <w:marBottom w:val="0"/>
      <w:divBdr>
        <w:top w:val="none" w:sz="0" w:space="0" w:color="auto"/>
        <w:left w:val="none" w:sz="0" w:space="0" w:color="auto"/>
        <w:bottom w:val="none" w:sz="0" w:space="0" w:color="auto"/>
        <w:right w:val="none" w:sz="0" w:space="0" w:color="auto"/>
      </w:divBdr>
    </w:div>
    <w:div w:id="1408499760">
      <w:bodyDiv w:val="1"/>
      <w:marLeft w:val="0"/>
      <w:marRight w:val="0"/>
      <w:marTop w:val="0"/>
      <w:marBottom w:val="0"/>
      <w:divBdr>
        <w:top w:val="none" w:sz="0" w:space="0" w:color="auto"/>
        <w:left w:val="none" w:sz="0" w:space="0" w:color="auto"/>
        <w:bottom w:val="none" w:sz="0" w:space="0" w:color="auto"/>
        <w:right w:val="none" w:sz="0" w:space="0" w:color="auto"/>
      </w:divBdr>
    </w:div>
    <w:div w:id="1560481314">
      <w:bodyDiv w:val="1"/>
      <w:marLeft w:val="0"/>
      <w:marRight w:val="0"/>
      <w:marTop w:val="0"/>
      <w:marBottom w:val="0"/>
      <w:divBdr>
        <w:top w:val="none" w:sz="0" w:space="0" w:color="auto"/>
        <w:left w:val="none" w:sz="0" w:space="0" w:color="auto"/>
        <w:bottom w:val="none" w:sz="0" w:space="0" w:color="auto"/>
        <w:right w:val="none" w:sz="0" w:space="0" w:color="auto"/>
      </w:divBdr>
    </w:div>
    <w:div w:id="159123303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635283422">
      <w:bodyDiv w:val="1"/>
      <w:marLeft w:val="0"/>
      <w:marRight w:val="0"/>
      <w:marTop w:val="0"/>
      <w:marBottom w:val="0"/>
      <w:divBdr>
        <w:top w:val="none" w:sz="0" w:space="0" w:color="auto"/>
        <w:left w:val="none" w:sz="0" w:space="0" w:color="auto"/>
        <w:bottom w:val="none" w:sz="0" w:space="0" w:color="auto"/>
        <w:right w:val="none" w:sz="0" w:space="0" w:color="auto"/>
      </w:divBdr>
    </w:div>
    <w:div w:id="1636715980">
      <w:bodyDiv w:val="1"/>
      <w:marLeft w:val="0"/>
      <w:marRight w:val="0"/>
      <w:marTop w:val="0"/>
      <w:marBottom w:val="0"/>
      <w:divBdr>
        <w:top w:val="none" w:sz="0" w:space="0" w:color="auto"/>
        <w:left w:val="none" w:sz="0" w:space="0" w:color="auto"/>
        <w:bottom w:val="none" w:sz="0" w:space="0" w:color="auto"/>
        <w:right w:val="none" w:sz="0" w:space="0" w:color="auto"/>
      </w:divBdr>
      <w:divsChild>
        <w:div w:id="151987250">
          <w:marLeft w:val="547"/>
          <w:marRight w:val="0"/>
          <w:marTop w:val="154"/>
          <w:marBottom w:val="0"/>
          <w:divBdr>
            <w:top w:val="none" w:sz="0" w:space="0" w:color="auto"/>
            <w:left w:val="none" w:sz="0" w:space="0" w:color="auto"/>
            <w:bottom w:val="none" w:sz="0" w:space="0" w:color="auto"/>
            <w:right w:val="none" w:sz="0" w:space="0" w:color="auto"/>
          </w:divBdr>
        </w:div>
        <w:div w:id="1618830777">
          <w:marLeft w:val="1166"/>
          <w:marRight w:val="0"/>
          <w:marTop w:val="134"/>
          <w:marBottom w:val="0"/>
          <w:divBdr>
            <w:top w:val="none" w:sz="0" w:space="0" w:color="auto"/>
            <w:left w:val="none" w:sz="0" w:space="0" w:color="auto"/>
            <w:bottom w:val="none" w:sz="0" w:space="0" w:color="auto"/>
            <w:right w:val="none" w:sz="0" w:space="0" w:color="auto"/>
          </w:divBdr>
        </w:div>
        <w:div w:id="2116435386">
          <w:marLeft w:val="1800"/>
          <w:marRight w:val="0"/>
          <w:marTop w:val="115"/>
          <w:marBottom w:val="0"/>
          <w:divBdr>
            <w:top w:val="none" w:sz="0" w:space="0" w:color="auto"/>
            <w:left w:val="none" w:sz="0" w:space="0" w:color="auto"/>
            <w:bottom w:val="none" w:sz="0" w:space="0" w:color="auto"/>
            <w:right w:val="none" w:sz="0" w:space="0" w:color="auto"/>
          </w:divBdr>
        </w:div>
        <w:div w:id="989090652">
          <w:marLeft w:val="547"/>
          <w:marRight w:val="0"/>
          <w:marTop w:val="154"/>
          <w:marBottom w:val="0"/>
          <w:divBdr>
            <w:top w:val="none" w:sz="0" w:space="0" w:color="auto"/>
            <w:left w:val="none" w:sz="0" w:space="0" w:color="auto"/>
            <w:bottom w:val="none" w:sz="0" w:space="0" w:color="auto"/>
            <w:right w:val="none" w:sz="0" w:space="0" w:color="auto"/>
          </w:divBdr>
        </w:div>
        <w:div w:id="595288378">
          <w:marLeft w:val="1166"/>
          <w:marRight w:val="0"/>
          <w:marTop w:val="134"/>
          <w:marBottom w:val="0"/>
          <w:divBdr>
            <w:top w:val="none" w:sz="0" w:space="0" w:color="auto"/>
            <w:left w:val="none" w:sz="0" w:space="0" w:color="auto"/>
            <w:bottom w:val="none" w:sz="0" w:space="0" w:color="auto"/>
            <w:right w:val="none" w:sz="0" w:space="0" w:color="auto"/>
          </w:divBdr>
        </w:div>
        <w:div w:id="1896816813">
          <w:marLeft w:val="1800"/>
          <w:marRight w:val="0"/>
          <w:marTop w:val="115"/>
          <w:marBottom w:val="0"/>
          <w:divBdr>
            <w:top w:val="none" w:sz="0" w:space="0" w:color="auto"/>
            <w:left w:val="none" w:sz="0" w:space="0" w:color="auto"/>
            <w:bottom w:val="none" w:sz="0" w:space="0" w:color="auto"/>
            <w:right w:val="none" w:sz="0" w:space="0" w:color="auto"/>
          </w:divBdr>
        </w:div>
        <w:div w:id="1759786418">
          <w:marLeft w:val="2520"/>
          <w:marRight w:val="0"/>
          <w:marTop w:val="106"/>
          <w:marBottom w:val="0"/>
          <w:divBdr>
            <w:top w:val="none" w:sz="0" w:space="0" w:color="auto"/>
            <w:left w:val="none" w:sz="0" w:space="0" w:color="auto"/>
            <w:bottom w:val="none" w:sz="0" w:space="0" w:color="auto"/>
            <w:right w:val="none" w:sz="0" w:space="0" w:color="auto"/>
          </w:divBdr>
        </w:div>
        <w:div w:id="760492558">
          <w:marLeft w:val="3240"/>
          <w:marRight w:val="0"/>
          <w:marTop w:val="106"/>
          <w:marBottom w:val="0"/>
          <w:divBdr>
            <w:top w:val="none" w:sz="0" w:space="0" w:color="auto"/>
            <w:left w:val="none" w:sz="0" w:space="0" w:color="auto"/>
            <w:bottom w:val="none" w:sz="0" w:space="0" w:color="auto"/>
            <w:right w:val="none" w:sz="0" w:space="0" w:color="auto"/>
          </w:divBdr>
        </w:div>
        <w:div w:id="928007307">
          <w:marLeft w:val="3240"/>
          <w:marRight w:val="0"/>
          <w:marTop w:val="106"/>
          <w:marBottom w:val="0"/>
          <w:divBdr>
            <w:top w:val="none" w:sz="0" w:space="0" w:color="auto"/>
            <w:left w:val="none" w:sz="0" w:space="0" w:color="auto"/>
            <w:bottom w:val="none" w:sz="0" w:space="0" w:color="auto"/>
            <w:right w:val="none" w:sz="0" w:space="0" w:color="auto"/>
          </w:divBdr>
        </w:div>
        <w:div w:id="1392847344">
          <w:marLeft w:val="3240"/>
          <w:marRight w:val="0"/>
          <w:marTop w:val="106"/>
          <w:marBottom w:val="0"/>
          <w:divBdr>
            <w:top w:val="none" w:sz="0" w:space="0" w:color="auto"/>
            <w:left w:val="none" w:sz="0" w:space="0" w:color="auto"/>
            <w:bottom w:val="none" w:sz="0" w:space="0" w:color="auto"/>
            <w:right w:val="none" w:sz="0" w:space="0" w:color="auto"/>
          </w:divBdr>
        </w:div>
      </w:divsChild>
    </w:div>
    <w:div w:id="1676760880">
      <w:bodyDiv w:val="1"/>
      <w:marLeft w:val="0"/>
      <w:marRight w:val="0"/>
      <w:marTop w:val="0"/>
      <w:marBottom w:val="0"/>
      <w:divBdr>
        <w:top w:val="none" w:sz="0" w:space="0" w:color="auto"/>
        <w:left w:val="none" w:sz="0" w:space="0" w:color="auto"/>
        <w:bottom w:val="none" w:sz="0" w:space="0" w:color="auto"/>
        <w:right w:val="none" w:sz="0" w:space="0" w:color="auto"/>
      </w:divBdr>
      <w:divsChild>
        <w:div w:id="216938395">
          <w:marLeft w:val="1440"/>
          <w:marRight w:val="0"/>
          <w:marTop w:val="120"/>
          <w:marBottom w:val="0"/>
          <w:divBdr>
            <w:top w:val="none" w:sz="0" w:space="0" w:color="auto"/>
            <w:left w:val="none" w:sz="0" w:space="0" w:color="auto"/>
            <w:bottom w:val="none" w:sz="0" w:space="0" w:color="auto"/>
            <w:right w:val="none" w:sz="0" w:space="0" w:color="auto"/>
          </w:divBdr>
        </w:div>
        <w:div w:id="66651421">
          <w:marLeft w:val="1440"/>
          <w:marRight w:val="0"/>
          <w:marTop w:val="120"/>
          <w:marBottom w:val="0"/>
          <w:divBdr>
            <w:top w:val="none" w:sz="0" w:space="0" w:color="auto"/>
            <w:left w:val="none" w:sz="0" w:space="0" w:color="auto"/>
            <w:bottom w:val="none" w:sz="0" w:space="0" w:color="auto"/>
            <w:right w:val="none" w:sz="0" w:space="0" w:color="auto"/>
          </w:divBdr>
        </w:div>
        <w:div w:id="1893539761">
          <w:marLeft w:val="1440"/>
          <w:marRight w:val="0"/>
          <w:marTop w:val="120"/>
          <w:marBottom w:val="0"/>
          <w:divBdr>
            <w:top w:val="none" w:sz="0" w:space="0" w:color="auto"/>
            <w:left w:val="none" w:sz="0" w:space="0" w:color="auto"/>
            <w:bottom w:val="none" w:sz="0" w:space="0" w:color="auto"/>
            <w:right w:val="none" w:sz="0" w:space="0" w:color="auto"/>
          </w:divBdr>
        </w:div>
      </w:divsChild>
    </w:div>
    <w:div w:id="1779523560">
      <w:bodyDiv w:val="1"/>
      <w:marLeft w:val="0"/>
      <w:marRight w:val="0"/>
      <w:marTop w:val="0"/>
      <w:marBottom w:val="0"/>
      <w:divBdr>
        <w:top w:val="none" w:sz="0" w:space="0" w:color="auto"/>
        <w:left w:val="none" w:sz="0" w:space="0" w:color="auto"/>
        <w:bottom w:val="none" w:sz="0" w:space="0" w:color="auto"/>
        <w:right w:val="none" w:sz="0" w:space="0" w:color="auto"/>
      </w:divBdr>
    </w:div>
    <w:div w:id="1837113261">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8134">
      <w:bodyDiv w:val="1"/>
      <w:marLeft w:val="0"/>
      <w:marRight w:val="0"/>
      <w:marTop w:val="0"/>
      <w:marBottom w:val="0"/>
      <w:divBdr>
        <w:top w:val="none" w:sz="0" w:space="0" w:color="auto"/>
        <w:left w:val="none" w:sz="0" w:space="0" w:color="auto"/>
        <w:bottom w:val="none" w:sz="0" w:space="0" w:color="auto"/>
        <w:right w:val="none" w:sz="0" w:space="0" w:color="auto"/>
      </w:divBdr>
    </w:div>
    <w:div w:id="1902671130">
      <w:bodyDiv w:val="1"/>
      <w:marLeft w:val="0"/>
      <w:marRight w:val="0"/>
      <w:marTop w:val="0"/>
      <w:marBottom w:val="0"/>
      <w:divBdr>
        <w:top w:val="none" w:sz="0" w:space="0" w:color="auto"/>
        <w:left w:val="none" w:sz="0" w:space="0" w:color="auto"/>
        <w:bottom w:val="none" w:sz="0" w:space="0" w:color="auto"/>
        <w:right w:val="none" w:sz="0" w:space="0" w:color="auto"/>
      </w:divBdr>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7856">
      <w:bodyDiv w:val="1"/>
      <w:marLeft w:val="0"/>
      <w:marRight w:val="0"/>
      <w:marTop w:val="0"/>
      <w:marBottom w:val="0"/>
      <w:divBdr>
        <w:top w:val="none" w:sz="0" w:space="0" w:color="auto"/>
        <w:left w:val="none" w:sz="0" w:space="0" w:color="auto"/>
        <w:bottom w:val="none" w:sz="0" w:space="0" w:color="auto"/>
        <w:right w:val="none" w:sz="0" w:space="0" w:color="auto"/>
      </w:divBdr>
      <w:divsChild>
        <w:div w:id="1398866623">
          <w:marLeft w:val="547"/>
          <w:marRight w:val="0"/>
          <w:marTop w:val="115"/>
          <w:marBottom w:val="0"/>
          <w:divBdr>
            <w:top w:val="none" w:sz="0" w:space="0" w:color="auto"/>
            <w:left w:val="none" w:sz="0" w:space="0" w:color="auto"/>
            <w:bottom w:val="none" w:sz="0" w:space="0" w:color="auto"/>
            <w:right w:val="none" w:sz="0" w:space="0" w:color="auto"/>
          </w:divBdr>
        </w:div>
        <w:div w:id="1470972033">
          <w:marLeft w:val="1166"/>
          <w:marRight w:val="0"/>
          <w:marTop w:val="96"/>
          <w:marBottom w:val="0"/>
          <w:divBdr>
            <w:top w:val="none" w:sz="0" w:space="0" w:color="auto"/>
            <w:left w:val="none" w:sz="0" w:space="0" w:color="auto"/>
            <w:bottom w:val="none" w:sz="0" w:space="0" w:color="auto"/>
            <w:right w:val="none" w:sz="0" w:space="0" w:color="auto"/>
          </w:divBdr>
        </w:div>
        <w:div w:id="26764009">
          <w:marLeft w:val="1166"/>
          <w:marRight w:val="0"/>
          <w:marTop w:val="96"/>
          <w:marBottom w:val="0"/>
          <w:divBdr>
            <w:top w:val="none" w:sz="0" w:space="0" w:color="auto"/>
            <w:left w:val="none" w:sz="0" w:space="0" w:color="auto"/>
            <w:bottom w:val="none" w:sz="0" w:space="0" w:color="auto"/>
            <w:right w:val="none" w:sz="0" w:space="0" w:color="auto"/>
          </w:divBdr>
        </w:div>
        <w:div w:id="1744639602">
          <w:marLeft w:val="1166"/>
          <w:marRight w:val="0"/>
          <w:marTop w:val="96"/>
          <w:marBottom w:val="0"/>
          <w:divBdr>
            <w:top w:val="none" w:sz="0" w:space="0" w:color="auto"/>
            <w:left w:val="none" w:sz="0" w:space="0" w:color="auto"/>
            <w:bottom w:val="none" w:sz="0" w:space="0" w:color="auto"/>
            <w:right w:val="none" w:sz="0" w:space="0" w:color="auto"/>
          </w:divBdr>
        </w:div>
        <w:div w:id="1817645213">
          <w:marLeft w:val="547"/>
          <w:marRight w:val="0"/>
          <w:marTop w:val="115"/>
          <w:marBottom w:val="0"/>
          <w:divBdr>
            <w:top w:val="none" w:sz="0" w:space="0" w:color="auto"/>
            <w:left w:val="none" w:sz="0" w:space="0" w:color="auto"/>
            <w:bottom w:val="none" w:sz="0" w:space="0" w:color="auto"/>
            <w:right w:val="none" w:sz="0" w:space="0" w:color="auto"/>
          </w:divBdr>
        </w:div>
        <w:div w:id="564075028">
          <w:marLeft w:val="1166"/>
          <w:marRight w:val="0"/>
          <w:marTop w:val="96"/>
          <w:marBottom w:val="0"/>
          <w:divBdr>
            <w:top w:val="none" w:sz="0" w:space="0" w:color="auto"/>
            <w:left w:val="none" w:sz="0" w:space="0" w:color="auto"/>
            <w:bottom w:val="none" w:sz="0" w:space="0" w:color="auto"/>
            <w:right w:val="none" w:sz="0" w:space="0" w:color="auto"/>
          </w:divBdr>
        </w:div>
      </w:divsChild>
    </w:div>
    <w:div w:id="2057971499">
      <w:bodyDiv w:val="1"/>
      <w:marLeft w:val="0"/>
      <w:marRight w:val="0"/>
      <w:marTop w:val="0"/>
      <w:marBottom w:val="0"/>
      <w:divBdr>
        <w:top w:val="none" w:sz="0" w:space="0" w:color="auto"/>
        <w:left w:val="none" w:sz="0" w:space="0" w:color="auto"/>
        <w:bottom w:val="none" w:sz="0" w:space="0" w:color="auto"/>
        <w:right w:val="none" w:sz="0" w:space="0" w:color="auto"/>
      </w:divBdr>
      <w:divsChild>
        <w:div w:id="1053194983">
          <w:marLeft w:val="1166"/>
          <w:marRight w:val="0"/>
          <w:marTop w:val="91"/>
          <w:marBottom w:val="0"/>
          <w:divBdr>
            <w:top w:val="none" w:sz="0" w:space="0" w:color="auto"/>
            <w:left w:val="none" w:sz="0" w:space="0" w:color="auto"/>
            <w:bottom w:val="none" w:sz="0" w:space="0" w:color="auto"/>
            <w:right w:val="none" w:sz="0" w:space="0" w:color="auto"/>
          </w:divBdr>
        </w:div>
        <w:div w:id="1214852708">
          <w:marLeft w:val="1166"/>
          <w:marRight w:val="0"/>
          <w:marTop w:val="91"/>
          <w:marBottom w:val="0"/>
          <w:divBdr>
            <w:top w:val="none" w:sz="0" w:space="0" w:color="auto"/>
            <w:left w:val="none" w:sz="0" w:space="0" w:color="auto"/>
            <w:bottom w:val="none" w:sz="0" w:space="0" w:color="auto"/>
            <w:right w:val="none" w:sz="0" w:space="0" w:color="auto"/>
          </w:divBdr>
        </w:div>
        <w:div w:id="2027099779">
          <w:marLeft w:val="1166"/>
          <w:marRight w:val="0"/>
          <w:marTop w:val="91"/>
          <w:marBottom w:val="0"/>
          <w:divBdr>
            <w:top w:val="none" w:sz="0" w:space="0" w:color="auto"/>
            <w:left w:val="none" w:sz="0" w:space="0" w:color="auto"/>
            <w:bottom w:val="none" w:sz="0" w:space="0" w:color="auto"/>
            <w:right w:val="none" w:sz="0" w:space="0" w:color="auto"/>
          </w:divBdr>
        </w:div>
        <w:div w:id="1789469168">
          <w:marLeft w:val="1166"/>
          <w:marRight w:val="0"/>
          <w:marTop w:val="96"/>
          <w:marBottom w:val="0"/>
          <w:divBdr>
            <w:top w:val="none" w:sz="0" w:space="0" w:color="auto"/>
            <w:left w:val="none" w:sz="0" w:space="0" w:color="auto"/>
            <w:bottom w:val="none" w:sz="0" w:space="0" w:color="auto"/>
            <w:right w:val="none" w:sz="0" w:space="0" w:color="auto"/>
          </w:divBdr>
        </w:div>
      </w:divsChild>
    </w:div>
    <w:div w:id="2126151589">
      <w:bodyDiv w:val="1"/>
      <w:marLeft w:val="0"/>
      <w:marRight w:val="0"/>
      <w:marTop w:val="0"/>
      <w:marBottom w:val="0"/>
      <w:divBdr>
        <w:top w:val="none" w:sz="0" w:space="0" w:color="auto"/>
        <w:left w:val="none" w:sz="0" w:space="0" w:color="auto"/>
        <w:bottom w:val="none" w:sz="0" w:space="0" w:color="auto"/>
        <w:right w:val="none" w:sz="0" w:space="0" w:color="auto"/>
      </w:divBdr>
      <w:divsChild>
        <w:div w:id="655496416">
          <w:marLeft w:val="547"/>
          <w:marRight w:val="0"/>
          <w:marTop w:val="101"/>
          <w:marBottom w:val="0"/>
          <w:divBdr>
            <w:top w:val="none" w:sz="0" w:space="0" w:color="auto"/>
            <w:left w:val="none" w:sz="0" w:space="0" w:color="auto"/>
            <w:bottom w:val="none" w:sz="0" w:space="0" w:color="auto"/>
            <w:right w:val="none" w:sz="0" w:space="0" w:color="auto"/>
          </w:divBdr>
        </w:div>
        <w:div w:id="1473983592">
          <w:marLeft w:val="1166"/>
          <w:marRight w:val="0"/>
          <w:marTop w:val="101"/>
          <w:marBottom w:val="0"/>
          <w:divBdr>
            <w:top w:val="none" w:sz="0" w:space="0" w:color="auto"/>
            <w:left w:val="none" w:sz="0" w:space="0" w:color="auto"/>
            <w:bottom w:val="none" w:sz="0" w:space="0" w:color="auto"/>
            <w:right w:val="none" w:sz="0" w:space="0" w:color="auto"/>
          </w:divBdr>
        </w:div>
      </w:divsChild>
    </w:div>
    <w:div w:id="2130734963">
      <w:bodyDiv w:val="1"/>
      <w:marLeft w:val="0"/>
      <w:marRight w:val="0"/>
      <w:marTop w:val="0"/>
      <w:marBottom w:val="0"/>
      <w:divBdr>
        <w:top w:val="none" w:sz="0" w:space="0" w:color="auto"/>
        <w:left w:val="none" w:sz="0" w:space="0" w:color="auto"/>
        <w:bottom w:val="none" w:sz="0" w:space="0" w:color="auto"/>
        <w:right w:val="none" w:sz="0" w:space="0" w:color="auto"/>
      </w:divBdr>
      <w:divsChild>
        <w:div w:id="1770855783">
          <w:marLeft w:val="0"/>
          <w:marRight w:val="0"/>
          <w:marTop w:val="0"/>
          <w:marBottom w:val="0"/>
          <w:divBdr>
            <w:top w:val="none" w:sz="0" w:space="0" w:color="auto"/>
            <w:left w:val="none" w:sz="0" w:space="0" w:color="auto"/>
            <w:bottom w:val="none" w:sz="0" w:space="0" w:color="auto"/>
            <w:right w:val="none" w:sz="0" w:space="0" w:color="auto"/>
          </w:divBdr>
          <w:divsChild>
            <w:div w:id="1142773825">
              <w:marLeft w:val="0"/>
              <w:marRight w:val="0"/>
              <w:marTop w:val="0"/>
              <w:marBottom w:val="0"/>
              <w:divBdr>
                <w:top w:val="none" w:sz="0" w:space="0" w:color="auto"/>
                <w:left w:val="none" w:sz="0" w:space="0" w:color="auto"/>
                <w:bottom w:val="none" w:sz="0" w:space="0" w:color="auto"/>
                <w:right w:val="none" w:sz="0" w:space="0" w:color="auto"/>
              </w:divBdr>
              <w:divsChild>
                <w:div w:id="13919164">
                  <w:marLeft w:val="0"/>
                  <w:marRight w:val="0"/>
                  <w:marTop w:val="0"/>
                  <w:marBottom w:val="0"/>
                  <w:divBdr>
                    <w:top w:val="none" w:sz="0" w:space="0" w:color="auto"/>
                    <w:left w:val="none" w:sz="0" w:space="0" w:color="auto"/>
                    <w:bottom w:val="none" w:sz="0" w:space="0" w:color="auto"/>
                    <w:right w:val="none" w:sz="0" w:space="0" w:color="auto"/>
                  </w:divBdr>
                  <w:divsChild>
                    <w:div w:id="598294482">
                      <w:marLeft w:val="0"/>
                      <w:marRight w:val="0"/>
                      <w:marTop w:val="45"/>
                      <w:marBottom w:val="0"/>
                      <w:divBdr>
                        <w:top w:val="none" w:sz="0" w:space="0" w:color="auto"/>
                        <w:left w:val="none" w:sz="0" w:space="0" w:color="auto"/>
                        <w:bottom w:val="none" w:sz="0" w:space="0" w:color="auto"/>
                        <w:right w:val="none" w:sz="0" w:space="0" w:color="auto"/>
                      </w:divBdr>
                      <w:divsChild>
                        <w:div w:id="1476606807">
                          <w:marLeft w:val="0"/>
                          <w:marRight w:val="0"/>
                          <w:marTop w:val="0"/>
                          <w:marBottom w:val="0"/>
                          <w:divBdr>
                            <w:top w:val="none" w:sz="0" w:space="0" w:color="auto"/>
                            <w:left w:val="none" w:sz="0" w:space="0" w:color="auto"/>
                            <w:bottom w:val="none" w:sz="0" w:space="0" w:color="auto"/>
                            <w:right w:val="none" w:sz="0" w:space="0" w:color="auto"/>
                          </w:divBdr>
                          <w:divsChild>
                            <w:div w:id="1286349025">
                              <w:marLeft w:val="2070"/>
                              <w:marRight w:val="3810"/>
                              <w:marTop w:val="0"/>
                              <w:marBottom w:val="0"/>
                              <w:divBdr>
                                <w:top w:val="none" w:sz="0" w:space="0" w:color="auto"/>
                                <w:left w:val="none" w:sz="0" w:space="0" w:color="auto"/>
                                <w:bottom w:val="none" w:sz="0" w:space="0" w:color="auto"/>
                                <w:right w:val="none" w:sz="0" w:space="0" w:color="auto"/>
                              </w:divBdr>
                              <w:divsChild>
                                <w:div w:id="1299528133">
                                  <w:marLeft w:val="0"/>
                                  <w:marRight w:val="0"/>
                                  <w:marTop w:val="0"/>
                                  <w:marBottom w:val="0"/>
                                  <w:divBdr>
                                    <w:top w:val="none" w:sz="0" w:space="0" w:color="auto"/>
                                    <w:left w:val="none" w:sz="0" w:space="0" w:color="auto"/>
                                    <w:bottom w:val="none" w:sz="0" w:space="0" w:color="auto"/>
                                    <w:right w:val="none" w:sz="0" w:space="0" w:color="auto"/>
                                  </w:divBdr>
                                  <w:divsChild>
                                    <w:div w:id="1968972981">
                                      <w:marLeft w:val="0"/>
                                      <w:marRight w:val="0"/>
                                      <w:marTop w:val="0"/>
                                      <w:marBottom w:val="0"/>
                                      <w:divBdr>
                                        <w:top w:val="none" w:sz="0" w:space="0" w:color="auto"/>
                                        <w:left w:val="none" w:sz="0" w:space="0" w:color="auto"/>
                                        <w:bottom w:val="none" w:sz="0" w:space="0" w:color="auto"/>
                                        <w:right w:val="none" w:sz="0" w:space="0" w:color="auto"/>
                                      </w:divBdr>
                                      <w:divsChild>
                                        <w:div w:id="1445231060">
                                          <w:marLeft w:val="0"/>
                                          <w:marRight w:val="0"/>
                                          <w:marTop w:val="0"/>
                                          <w:marBottom w:val="0"/>
                                          <w:divBdr>
                                            <w:top w:val="none" w:sz="0" w:space="0" w:color="auto"/>
                                            <w:left w:val="none" w:sz="0" w:space="0" w:color="auto"/>
                                            <w:bottom w:val="none" w:sz="0" w:space="0" w:color="auto"/>
                                            <w:right w:val="none" w:sz="0" w:space="0" w:color="auto"/>
                                          </w:divBdr>
                                          <w:divsChild>
                                            <w:div w:id="1621104657">
                                              <w:marLeft w:val="0"/>
                                              <w:marRight w:val="0"/>
                                              <w:marTop w:val="0"/>
                                              <w:marBottom w:val="0"/>
                                              <w:divBdr>
                                                <w:top w:val="none" w:sz="0" w:space="0" w:color="auto"/>
                                                <w:left w:val="none" w:sz="0" w:space="0" w:color="auto"/>
                                                <w:bottom w:val="none" w:sz="0" w:space="0" w:color="auto"/>
                                                <w:right w:val="none" w:sz="0" w:space="0" w:color="auto"/>
                                              </w:divBdr>
                                              <w:divsChild>
                                                <w:div w:id="913972061">
                                                  <w:marLeft w:val="0"/>
                                                  <w:marRight w:val="0"/>
                                                  <w:marTop w:val="0"/>
                                                  <w:marBottom w:val="0"/>
                                                  <w:divBdr>
                                                    <w:top w:val="none" w:sz="0" w:space="0" w:color="auto"/>
                                                    <w:left w:val="none" w:sz="0" w:space="0" w:color="auto"/>
                                                    <w:bottom w:val="none" w:sz="0" w:space="0" w:color="auto"/>
                                                    <w:right w:val="none" w:sz="0" w:space="0" w:color="auto"/>
                                                  </w:divBdr>
                                                  <w:divsChild>
                                                    <w:div w:id="1782452450">
                                                      <w:marLeft w:val="0"/>
                                                      <w:marRight w:val="0"/>
                                                      <w:marTop w:val="0"/>
                                                      <w:marBottom w:val="0"/>
                                                      <w:divBdr>
                                                        <w:top w:val="none" w:sz="0" w:space="0" w:color="auto"/>
                                                        <w:left w:val="none" w:sz="0" w:space="0" w:color="auto"/>
                                                        <w:bottom w:val="none" w:sz="0" w:space="0" w:color="auto"/>
                                                        <w:right w:val="none" w:sz="0" w:space="0" w:color="auto"/>
                                                      </w:divBdr>
                                                      <w:divsChild>
                                                        <w:div w:id="1721172921">
                                                          <w:marLeft w:val="0"/>
                                                          <w:marRight w:val="0"/>
                                                          <w:marTop w:val="0"/>
                                                          <w:marBottom w:val="0"/>
                                                          <w:divBdr>
                                                            <w:top w:val="none" w:sz="0" w:space="0" w:color="auto"/>
                                                            <w:left w:val="none" w:sz="0" w:space="0" w:color="auto"/>
                                                            <w:bottom w:val="none" w:sz="0" w:space="0" w:color="auto"/>
                                                            <w:right w:val="none" w:sz="0" w:space="0" w:color="auto"/>
                                                          </w:divBdr>
                                                          <w:divsChild>
                                                            <w:div w:id="1437407063">
                                                              <w:marLeft w:val="0"/>
                                                              <w:marRight w:val="0"/>
                                                              <w:marTop w:val="0"/>
                                                              <w:marBottom w:val="0"/>
                                                              <w:divBdr>
                                                                <w:top w:val="none" w:sz="0" w:space="0" w:color="auto"/>
                                                                <w:left w:val="none" w:sz="0" w:space="0" w:color="auto"/>
                                                                <w:bottom w:val="none" w:sz="0" w:space="0" w:color="auto"/>
                                                                <w:right w:val="none" w:sz="0" w:space="0" w:color="auto"/>
                                                              </w:divBdr>
                                                              <w:divsChild>
                                                                <w:div w:id="18040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1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el.org/pdfs/latinos_and_pla_2014_summary" TargetMode="External"/><Relationship Id="rId117" Type="http://schemas.openxmlformats.org/officeDocument/2006/relationships/hyperlink" Target="http://highered.colorado.gov/Academics/Transfers/gtPathways/Curriculum/Courses.aspx?cat=GT-CO1" TargetMode="External"/><Relationship Id="rId21" Type="http://schemas.openxmlformats.org/officeDocument/2006/relationships/hyperlink" Target="http://www.cael.org/pdfs/cael_pla_accreditation" TargetMode="External"/><Relationship Id="rId42" Type="http://schemas.openxmlformats.org/officeDocument/2006/relationships/hyperlink" Target="http://catalog.msudenver.edu/content.php?catoid=17&amp;navoid=728&amp;hl=%22credit+options%22&amp;returnto=search" TargetMode="External"/><Relationship Id="rId47" Type="http://schemas.openxmlformats.org/officeDocument/2006/relationships/hyperlink" Target="http://www.dliflc.edu/" TargetMode="External"/><Relationship Id="rId63" Type="http://schemas.openxmlformats.org/officeDocument/2006/relationships/hyperlink" Target="http://www.transferin.net/High-School-Students/AP_copy1.aspx" TargetMode="External"/><Relationship Id="rId68" Type="http://schemas.openxmlformats.org/officeDocument/2006/relationships/hyperlink" Target="http://www.mnscu.edu/board/policy/335.html" TargetMode="External"/><Relationship Id="rId84" Type="http://schemas.openxmlformats.org/officeDocument/2006/relationships/hyperlink" Target="http://le.utah.gov/code/TITLE53B/htm/53B16_010500.htm" TargetMode="External"/><Relationship Id="rId89" Type="http://schemas.openxmlformats.org/officeDocument/2006/relationships/hyperlink" Target="http://catalog.acalog.cwu.edu/content.php?catoid=31&amp;navoid=1068" TargetMode="External"/><Relationship Id="rId112" Type="http://schemas.openxmlformats.org/officeDocument/2006/relationships/hyperlink" Target="http://highered.colorado.gov/Academics/Transfers/gtPathways/Curriculum/Courses.aspx?cat=GT-CO1" TargetMode="External"/><Relationship Id="rId16" Type="http://schemas.openxmlformats.org/officeDocument/2006/relationships/hyperlink" Target="http://www.aacrao.org/docs/default-source/PDF-Files/aacrao_dec_2014_60_second_survey_credit_for_prior_learning_practices.pdf?sfvrsn=4" TargetMode="External"/><Relationship Id="rId107" Type="http://schemas.openxmlformats.org/officeDocument/2006/relationships/hyperlink" Target="http://highered.colorado.gov/Academics/Transfers/gtPathways/Curriculum/Courses.aspx?cat=GT-CO1" TargetMode="External"/><Relationship Id="rId11" Type="http://schemas.openxmlformats.org/officeDocument/2006/relationships/hyperlink" Target="http://clep.collegeboard.org/" TargetMode="External"/><Relationship Id="rId32" Type="http://schemas.openxmlformats.org/officeDocument/2006/relationships/hyperlink" Target="https://secure.collegefortn.org/Adults/_default.aspx" TargetMode="External"/><Relationship Id="rId37" Type="http://schemas.openxmlformats.org/officeDocument/2006/relationships/hyperlink" Target="http://www.mines.edu/FreshmanTransferCredit" TargetMode="External"/><Relationship Id="rId53" Type="http://schemas.openxmlformats.org/officeDocument/2006/relationships/hyperlink" Target="http://www.uccs.edu/transfer/credit-by-exam/dsst.html" TargetMode="External"/><Relationship Id="rId58" Type="http://schemas.openxmlformats.org/officeDocument/2006/relationships/hyperlink" Target="http://unco.smartcatalogiq.com/en/current/Undergraduate-Catalog/The-Liberal-Arts-Core" TargetMode="External"/><Relationship Id="rId74" Type="http://schemas.openxmlformats.org/officeDocument/2006/relationships/hyperlink" Target="https://www.ohiohighered.org/transfer/advancedplacement" TargetMode="External"/><Relationship Id="rId79" Type="http://schemas.openxmlformats.org/officeDocument/2006/relationships/hyperlink" Target="http://www.che.sc.gov/CHE_Docs/academicaffairs/apib_policy.pdf" TargetMode="External"/><Relationship Id="rId102" Type="http://schemas.openxmlformats.org/officeDocument/2006/relationships/hyperlink" Target="http://highered.colorado.gov/Academics/Transfers/gtPathways/Curriculum/Courses.aspx?cat=GT-CO1" TargetMode="External"/><Relationship Id="rId5" Type="http://schemas.openxmlformats.org/officeDocument/2006/relationships/settings" Target="settings.xml"/><Relationship Id="rId90" Type="http://schemas.openxmlformats.org/officeDocument/2006/relationships/hyperlink" Target="https://www.wvhepc.org/resources/133-15.pdf" TargetMode="External"/><Relationship Id="rId95" Type="http://schemas.openxmlformats.org/officeDocument/2006/relationships/hyperlink" Target="http://strategylabs.luminafoundation.org/wp-content/uploads/2013/09/cp_resource_guide_final_0-copy.pdf" TargetMode="External"/><Relationship Id="rId22" Type="http://schemas.openxmlformats.org/officeDocument/2006/relationships/hyperlink" Target="http://www.cael.org/pdfs/pla_fueling-the-race" TargetMode="External"/><Relationship Id="rId27" Type="http://schemas.openxmlformats.org/officeDocument/2006/relationships/hyperlink" Target="http://www.luminafoundation.org/files/resources/a-stronger-nation-through-higher-education-2014.pdf" TargetMode="External"/><Relationship Id="rId43" Type="http://schemas.openxmlformats.org/officeDocument/2006/relationships/hyperlink" Target="http://www.colorado.edu/admissions/undergraduate/apply/transfer/transfercredit" TargetMode="External"/><Relationship Id="rId48" Type="http://schemas.openxmlformats.org/officeDocument/2006/relationships/hyperlink" Target="http://www.uccs.edu/transfer/credit-by-exam.html" TargetMode="External"/><Relationship Id="rId64" Type="http://schemas.openxmlformats.org/officeDocument/2006/relationships/hyperlink" Target="http://www.cpe.ky.gov/NR/rdonlyres/B7447563-5237-47A3-9C60-B9D6EE951C36/0/9_Dual_Credit_Policy.pdf" TargetMode="External"/><Relationship Id="rId69" Type="http://schemas.openxmlformats.org/officeDocument/2006/relationships/hyperlink" Target="http://www.mnscu.edu/board/procedure/315p1.html" TargetMode="External"/><Relationship Id="rId113" Type="http://schemas.openxmlformats.org/officeDocument/2006/relationships/hyperlink" Target="http://highered.colorado.gov/Academics/Transfers/gtPathways/Curriculum/Courses.aspx?cat=GT-CO1" TargetMode="External"/><Relationship Id="rId118" Type="http://schemas.openxmlformats.org/officeDocument/2006/relationships/hyperlink" Target="http://highered.colorado.gov/Academics/Transfers/gtPathways/Curriculum/Courses.aspx?cat=GT-CO1" TargetMode="External"/><Relationship Id="rId80" Type="http://schemas.openxmlformats.org/officeDocument/2006/relationships/hyperlink" Target="http://www.sdbor.edu/services/academics/documents/AP_guidelines_000.pdf" TargetMode="External"/><Relationship Id="rId85" Type="http://schemas.openxmlformats.org/officeDocument/2006/relationships/hyperlink" Target="http://www.wsac.wa.gov/sites/default/files/PLA_Report-2013.pdf" TargetMode="External"/><Relationship Id="rId12" Type="http://schemas.openxmlformats.org/officeDocument/2006/relationships/hyperlink" Target="http://www.cael.org/" TargetMode="External"/><Relationship Id="rId17" Type="http://schemas.openxmlformats.org/officeDocument/2006/relationships/hyperlink" Target="http://research.collegeboard.org/publications/comparison-clep-and-non-clep-students-respect-postsecondary-outcomes" TargetMode="External"/><Relationship Id="rId33" Type="http://schemas.openxmlformats.org/officeDocument/2006/relationships/header" Target="header1.xml"/><Relationship Id="rId38" Type="http://schemas.openxmlformats.org/officeDocument/2006/relationships/hyperlink" Target="http://registrar.colostate.edu/transfer-evaluation" TargetMode="External"/><Relationship Id="rId59" Type="http://schemas.openxmlformats.org/officeDocument/2006/relationships/hyperlink" Target="http://www.western.edu/sites/default/files/page/docs/General%20Information%2C%20Policies%2C%20and%20Procedures.pdf" TargetMode="External"/><Relationship Id="rId103" Type="http://schemas.openxmlformats.org/officeDocument/2006/relationships/hyperlink" Target="http://highered.colorado.gov/Academics/Transfers/gtPathways/Curriculum/Courses.aspx?cat=GT-CO1" TargetMode="External"/><Relationship Id="rId108" Type="http://schemas.openxmlformats.org/officeDocument/2006/relationships/hyperlink" Target="http://highered.colorado.gov/Academics/Transfers/gtPathways/Curriculum/Courses.aspx?cat=GT-CO1" TargetMode="External"/><Relationship Id="rId54" Type="http://schemas.openxmlformats.org/officeDocument/2006/relationships/hyperlink" Target="http://www.uccs.edu/Documents/military/militarytransfercreditpolicy.pdf" TargetMode="External"/><Relationship Id="rId70" Type="http://schemas.openxmlformats.org/officeDocument/2006/relationships/hyperlink" Target="http://www.ndus.edu/makers/procedures/ndus/default.asp?PID=323&amp;SID=56" TargetMode="External"/><Relationship Id="rId75" Type="http://schemas.openxmlformats.org/officeDocument/2006/relationships/hyperlink" Target="https://ohiohighered.org/PLA" TargetMode="External"/><Relationship Id="rId91" Type="http://schemas.openxmlformats.org/officeDocument/2006/relationships/hyperlink" Target="https://www.wvhepc.org/academic/AdvPlace_List_2012-2013.pdf" TargetMode="External"/><Relationship Id="rId96" Type="http://schemas.openxmlformats.org/officeDocument/2006/relationships/hyperlink" Target="http://strategylabs.luminafoundation.org/higher-education-state-policy-agenda/core-element-three/action-1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dx.doi.org/10.1080/10668926.2013.789992" TargetMode="External"/><Relationship Id="rId28" Type="http://schemas.openxmlformats.org/officeDocument/2006/relationships/hyperlink" Target="http://research.collegeboard.org/sites/default/files/publications/2012/8/researchreport-2011-4-ap-performance-1st-year-subject-grades.pdf" TargetMode="External"/><Relationship Id="rId49" Type="http://schemas.openxmlformats.org/officeDocument/2006/relationships/hyperlink" Target="http://www.uccs.edu/transfer/credit-by-exam/advanced-placement.html" TargetMode="External"/><Relationship Id="rId114" Type="http://schemas.openxmlformats.org/officeDocument/2006/relationships/hyperlink" Target="http://highered.colorado.gov/Academics/Transfers/gtPathways/Curriculum/Courses.aspx?cat=GT-CO1" TargetMode="External"/><Relationship Id="rId119" Type="http://schemas.openxmlformats.org/officeDocument/2006/relationships/hyperlink" Target="http://highered.colorado.gov/Academics/Transfers/gtPathways/Curriculum/Courses.aspx?cat=GT-SS1" TargetMode="External"/><Relationship Id="rId44" Type="http://schemas.openxmlformats.org/officeDocument/2006/relationships/hyperlink" Target="https://www.colorado.edu/admissions/undergraduate/node/7673/attachment" TargetMode="External"/><Relationship Id="rId60" Type="http://schemas.openxmlformats.org/officeDocument/2006/relationships/hyperlink" Target="http://www.western.edu/academics/academic-resource-center/clep-accuplacer-correspondence-test-information" TargetMode="External"/><Relationship Id="rId65" Type="http://schemas.openxmlformats.org/officeDocument/2006/relationships/hyperlink" Target="http://www.lrc.state.ky.us/kar/013/002/025.htm" TargetMode="External"/><Relationship Id="rId81" Type="http://schemas.openxmlformats.org/officeDocument/2006/relationships/hyperlink" Target="http://www.kansasregents.org/resources/PDF/3078-TNRecommendationsforStandardsinPLA.pdf" TargetMode="External"/><Relationship Id="rId86" Type="http://schemas.openxmlformats.org/officeDocument/2006/relationships/hyperlink" Target="http://apps.leg.wa.gov/documents/billdocs/2009-10/Pdf/Bills/Session%20Laws/Senate/6357-S.SL.pdf" TargetMode="External"/><Relationship Id="rId4" Type="http://schemas.microsoft.com/office/2007/relationships/stylesWithEffects" Target="stylesWithEffects.xml"/><Relationship Id="rId9" Type="http://schemas.openxmlformats.org/officeDocument/2006/relationships/hyperlink" Target="http://highered.colorado.gov/Publications/General/StrategicPlanning/MasterPlan2012/Master_Plan_Final.pdf" TargetMode="External"/><Relationship Id="rId13" Type="http://schemas.openxmlformats.org/officeDocument/2006/relationships/hyperlink" Target="http://www.learningcounts.org/" TargetMode="External"/><Relationship Id="rId18" Type="http://schemas.openxmlformats.org/officeDocument/2006/relationships/hyperlink" Target="http://highered.colorado.gov/Publications/General/StrategicPlanning/MasterPlan2012/Master_Plan_Final.pdf" TargetMode="External"/><Relationship Id="rId39" Type="http://schemas.openxmlformats.org/officeDocument/2006/relationships/hyperlink" Target="https://csuglobal.edu/undergraduate/programs/alternative-credit-options/pla/" TargetMode="External"/><Relationship Id="rId109" Type="http://schemas.openxmlformats.org/officeDocument/2006/relationships/hyperlink" Target="http://highered.colorado.gov/Academics/Transfers/gtPathways/Curriculum/Courses.aspx?cat=GT-CO1" TargetMode="External"/><Relationship Id="rId34" Type="http://schemas.openxmlformats.org/officeDocument/2006/relationships/hyperlink" Target="https://www.cccs.edu/wp-content/uploads/2012/08/Credit-for-Prior-Learning-Handbook.pdf" TargetMode="External"/><Relationship Id="rId50" Type="http://schemas.openxmlformats.org/officeDocument/2006/relationships/hyperlink" Target="http://www.uccs.edu/transfer/credit-by-exam/international-baccalaureate.html" TargetMode="External"/><Relationship Id="rId55" Type="http://schemas.openxmlformats.org/officeDocument/2006/relationships/hyperlink" Target="http://www.ucdenver.edu/admissions/bachelors/freshman/getReady/Pages/APIB-Credit.aspx" TargetMode="External"/><Relationship Id="rId76" Type="http://schemas.openxmlformats.org/officeDocument/2006/relationships/hyperlink" Target="http://www.ous.edu/sites/default/files/programs/acadprog/APCourseCredit_2012_13_Final.pdf" TargetMode="External"/><Relationship Id="rId97" Type="http://schemas.openxmlformats.org/officeDocument/2006/relationships/hyperlink" Target="http://www.chea.org" TargetMode="External"/><Relationship Id="rId104" Type="http://schemas.openxmlformats.org/officeDocument/2006/relationships/hyperlink" Target="http://highered.colorado.gov/Academics/Transfers/gtPathways/Curriculum/Courses.aspx?cat=GT-CO1"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ndus.edu/uploads/policy/323/credit-by-exam-9-24-13.pdf" TargetMode="External"/><Relationship Id="rId92" Type="http://schemas.openxmlformats.org/officeDocument/2006/relationships/hyperlink" Target="https://www.wisconsin.edu/regents/policies/academic-policies-and-programs-2/" TargetMode="External"/><Relationship Id="rId2" Type="http://schemas.openxmlformats.org/officeDocument/2006/relationships/numbering" Target="numbering.xml"/><Relationship Id="rId29" Type="http://schemas.openxmlformats.org/officeDocument/2006/relationships/hyperlink" Target="http://www.plaio.org/index.php/home" TargetMode="External"/><Relationship Id="rId24" Type="http://schemas.openxmlformats.org/officeDocument/2006/relationships/hyperlink" Target="http://strategylabs.luminafoundation.org/wp-content/uploads/2013/10/State-Attainment-Goals.pdf" TargetMode="External"/><Relationship Id="rId40" Type="http://schemas.openxmlformats.org/officeDocument/2006/relationships/hyperlink" Target="http://www.csupueblo.edu/catalog/Documents/Catalog2014-2015.pdf" TargetMode="External"/><Relationship Id="rId45" Type="http://schemas.openxmlformats.org/officeDocument/2006/relationships/hyperlink" Target="https://www.colorado.edu/admissions/undergraduate/node/7673/attachment" TargetMode="External"/><Relationship Id="rId66" Type="http://schemas.openxmlformats.org/officeDocument/2006/relationships/hyperlink" Target="http://www.legis.la.gov/Legis/ViewDocument.aspx?d=668375&amp;n=SB285%20Act" TargetMode="External"/><Relationship Id="rId87" Type="http://schemas.openxmlformats.org/officeDocument/2006/relationships/hyperlink" Target="http://apps.leg.wa.gov/documents/billdocs/2011-12/Pdf/Bills/Session%20Laws/House/1795-S2.SL.pdf" TargetMode="External"/><Relationship Id="rId110" Type="http://schemas.openxmlformats.org/officeDocument/2006/relationships/hyperlink" Target="http://highered.colorado.gov/Academics/Transfers/gtPathways/Curriculum/Courses.aspx?cat=GT-CO1" TargetMode="External"/><Relationship Id="rId115" Type="http://schemas.openxmlformats.org/officeDocument/2006/relationships/hyperlink" Target="http://highered.colorado.gov/Academics/Transfers/gtPathways/Curriculum/Courses.aspx?cat=GT-CO1" TargetMode="External"/><Relationship Id="rId61" Type="http://schemas.openxmlformats.org/officeDocument/2006/relationships/hyperlink" Target="http://www.calstate.edu/AcadAff/codedmemos/AA-2010-09.pdf" TargetMode="External"/><Relationship Id="rId82" Type="http://schemas.openxmlformats.org/officeDocument/2006/relationships/hyperlink" Target="http://www.tn.gov/thec/PLA/policydocuments.htm" TargetMode="External"/><Relationship Id="rId19" Type="http://schemas.openxmlformats.org/officeDocument/2006/relationships/hyperlink" Target="http://media.collegeboard.com/digitalServices/pdf/clep/CLEP_Candidate_Survey_2004-05.pdf" TargetMode="External"/><Relationship Id="rId14" Type="http://schemas.openxmlformats.org/officeDocument/2006/relationships/hyperlink" Target="http://clep.collegeboard.org/develop/ace-credit" TargetMode="External"/><Relationship Id="rId30" Type="http://schemas.openxmlformats.org/officeDocument/2006/relationships/hyperlink" Target="http://www.acenet.edu/news-room/Documents/Credit-for-Prior-Learning-Issue-Brief.pdf" TargetMode="External"/><Relationship Id="rId35" Type="http://schemas.openxmlformats.org/officeDocument/2006/relationships/hyperlink" Target="http://www.adams.edu/academics/credit_for_prior_experience.php" TargetMode="External"/><Relationship Id="rId56" Type="http://schemas.openxmlformats.org/officeDocument/2006/relationships/hyperlink" Target="http://www.ucdenver.edu/academics/colleges/pharmacy/currentstudents/iPharmD/experientialtraining/ExperientialTrainingNTPD/Pages/CreditbyChallenges.aspx" TargetMode="External"/><Relationship Id="rId77" Type="http://schemas.openxmlformats.org/officeDocument/2006/relationships/hyperlink" Target="http://www.legis.state.pa.us/cfdocs/billInfo/billInfo.cfm?sYear=2013&amp;sInd=0&amp;body=H&amp;type=B&amp;bn=2076" TargetMode="External"/><Relationship Id="rId100" Type="http://schemas.openxmlformats.org/officeDocument/2006/relationships/hyperlink" Target="http://highered.colorado.gov/Academics/Transfers/gtPathways/curriculum.html" TargetMode="External"/><Relationship Id="rId105" Type="http://schemas.openxmlformats.org/officeDocument/2006/relationships/hyperlink" Target="http://highered.colorado.gov/Academics/Transfers/gtPathways/Curriculum/Courses.aspx?cat=GT-CO1" TargetMode="External"/><Relationship Id="rId8" Type="http://schemas.openxmlformats.org/officeDocument/2006/relationships/endnotes" Target="endnotes.xml"/><Relationship Id="rId51" Type="http://schemas.openxmlformats.org/officeDocument/2006/relationships/hyperlink" Target="http://www.uccs.edu/transfer/credit-by-exam/college-level-examination-program.html" TargetMode="External"/><Relationship Id="rId72" Type="http://schemas.openxmlformats.org/officeDocument/2006/relationships/hyperlink" Target="https://www.ohiohighered.org/PLA" TargetMode="External"/><Relationship Id="rId93" Type="http://schemas.openxmlformats.org/officeDocument/2006/relationships/hyperlink" Target="http://ecs.force.com/mbdata/mbquestRTL?rep=TA06" TargetMode="External"/><Relationship Id="rId98" Type="http://schemas.openxmlformats.org/officeDocument/2006/relationships/image" Target="media/image2.jpeg"/><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4.aacrao.org/publications/catalog.php?item=0140" TargetMode="External"/><Relationship Id="rId46" Type="http://schemas.openxmlformats.org/officeDocument/2006/relationships/hyperlink" Target="http://www.colorado.edu/admissions/undergraduate/apply/freshman/credit" TargetMode="External"/><Relationship Id="rId67" Type="http://schemas.openxmlformats.org/officeDocument/2006/relationships/hyperlink" Target="http://www.dsd.state.md.us/comar/getfile.aspx?file=13b.02.02.16.htm" TargetMode="External"/><Relationship Id="rId116" Type="http://schemas.openxmlformats.org/officeDocument/2006/relationships/hyperlink" Target="http://highered.colorado.gov/Academics/Transfers/gtPathways/Curriculum/Courses.aspx?cat=GT-CO1" TargetMode="External"/><Relationship Id="rId20" Type="http://schemas.openxmlformats.org/officeDocument/2006/relationships/hyperlink" Target="http://clep.collegeboard.org/research/statistics" TargetMode="External"/><Relationship Id="rId41" Type="http://schemas.openxmlformats.org/officeDocument/2006/relationships/hyperlink" Target="http://catalog.fortlewis.edu/content.php?catoid=22&amp;navoid=1510" TargetMode="External"/><Relationship Id="rId62" Type="http://schemas.openxmlformats.org/officeDocument/2006/relationships/hyperlink" Target="http://www.fldoe.org/core/fileparse.php/5421/urlt/0078391-acc-cbe.pdf" TargetMode="External"/><Relationship Id="rId83" Type="http://schemas.openxmlformats.org/officeDocument/2006/relationships/hyperlink" Target="http://higheredutah.org/wp-content/uploads/2013/06/pff_2011_r470.pdf" TargetMode="External"/><Relationship Id="rId88" Type="http://schemas.openxmlformats.org/officeDocument/2006/relationships/hyperlink" Target="http://apps.leg.wa.gov/RCW/default.aspx?cite=28B.10.053" TargetMode="External"/><Relationship Id="rId111" Type="http://schemas.openxmlformats.org/officeDocument/2006/relationships/hyperlink" Target="http://highered.colorado.gov/Academics/Transfers/gtPathways/Curriculum/Courses.aspx?cat=GT-CO1" TargetMode="External"/><Relationship Id="rId15" Type="http://schemas.openxmlformats.org/officeDocument/2006/relationships/hyperlink" Target="http://www.chea.org" TargetMode="External"/><Relationship Id="rId36" Type="http://schemas.openxmlformats.org/officeDocument/2006/relationships/hyperlink" Target="https://www.google.com/url?q=http://www.coloradomesa.edu/catalog/&amp;sa=U&amp;ei=sKLKVOK2No2ZyATwiICgAQ&amp;ved=0CAUQFjAA&amp;client=internal-uds-cse&amp;usg=AFQjCNFMwOwsFP6voXU5K21uOB1HeR9T4Q" TargetMode="External"/><Relationship Id="rId57" Type="http://schemas.openxmlformats.org/officeDocument/2006/relationships/hyperlink" Target="http://unco.smartcatalogiq.com/en/current/Undergraduate-Catalog/Undergraduate-Information-and-Policies/Admission/Credit-by-Examination-ACE-AP-and-IB-CLEP-Challenge-Foreign-Language-Proficiency" TargetMode="External"/><Relationship Id="rId106" Type="http://schemas.openxmlformats.org/officeDocument/2006/relationships/hyperlink" Target="http://highered.colorado.gov/Academics/Transfers/gtPathways/Curriculum/Courses.aspx?cat=GT-CO1" TargetMode="External"/><Relationship Id="rId10" Type="http://schemas.openxmlformats.org/officeDocument/2006/relationships/image" Target="media/image1.jpeg"/><Relationship Id="rId31" Type="http://schemas.openxmlformats.org/officeDocument/2006/relationships/hyperlink" Target="http://strategylabs.luminafoundation.org/wp-content/uploads/2013/09/cp_resource_guide_final_0-copy.pdf" TargetMode="External"/><Relationship Id="rId52" Type="http://schemas.openxmlformats.org/officeDocument/2006/relationships/hyperlink" Target="http://catalog.uccs.edu/content.php?catoid=10&amp;navoid=463" TargetMode="External"/><Relationship Id="rId73" Type="http://schemas.openxmlformats.org/officeDocument/2006/relationships/hyperlink" Target="https://www.ohiohighered.org/sites/default/files/dir-2011-004.pdf" TargetMode="External"/><Relationship Id="rId78" Type="http://schemas.openxmlformats.org/officeDocument/2006/relationships/hyperlink" Target="http://clep.collegeboard.org/develop/ace-credit" TargetMode="External"/><Relationship Id="rId94" Type="http://schemas.openxmlformats.org/officeDocument/2006/relationships/hyperlink" Target="http://www.google.com/url?sa=t&amp;rct=j&amp;q=&amp;esrc=s&amp;source=web&amp;cd=1&amp;cad=rja&amp;uact=8&amp;ved=0CCIQFjAA&amp;url=http%3A%2F%2Fmedia.collegeboard.com%2FdigitalServices%2Fpdf%2Fap%2Fstate-ap-credit-placement-policies.pdf&amp;ei=-OS2VJ6LNImpgwTY_IGoDA&amp;usg=AFQjCNEO0soCLEat3W_xLfPSboOpSQc12A&amp;bvm=bv.83640239,d.eXY" TargetMode="External"/><Relationship Id="rId99" Type="http://schemas.openxmlformats.org/officeDocument/2006/relationships/hyperlink" Target="http://www.fldoe.org/core/fileparse.php/5421/urlt/0078391-acc-cbe.pdf" TargetMode="External"/><Relationship Id="rId101" Type="http://schemas.openxmlformats.org/officeDocument/2006/relationships/hyperlink" Target="http://highered.colorado.gov/Data/Degrees.aspx?gtp=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5B71-E53F-4008-85FE-5000A304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Agenda_Item_Template.dotx</Template>
  <TotalTime>0</TotalTime>
  <Pages>37</Pages>
  <Words>13197</Words>
  <Characters>85860</Characters>
  <Application>Microsoft Office Word</Application>
  <DocSecurity>0</DocSecurity>
  <Lines>715</Lines>
  <Paragraphs>197</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98860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Macgillivray, Ian</cp:lastModifiedBy>
  <cp:revision>2</cp:revision>
  <cp:lastPrinted>2015-04-29T19:34:00Z</cp:lastPrinted>
  <dcterms:created xsi:type="dcterms:W3CDTF">2015-08-27T15:16:00Z</dcterms:created>
  <dcterms:modified xsi:type="dcterms:W3CDTF">2015-08-27T15:16:00Z</dcterms:modified>
</cp:coreProperties>
</file>